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highlight w:val="none"/>
        </w:rPr>
      </w:pPr>
      <w:r>
        <w:rPr>
          <w:rFonts w:ascii="宋体" w:hAnsi="宋体" w:eastAsia="宋体" w:cs="Times New Roman"/>
          <w:b/>
          <w:bCs/>
          <w:spacing w:val="20"/>
          <w:sz w:val="72"/>
          <w:szCs w:val="72"/>
          <w:highlight w:val="none"/>
        </w:rPr>
      </w:r>
      <w:r/>
    </w:p>
    <w:p>
      <w:pPr>
        <w:jc w:val="center"/>
        <w:rPr>
          <w:rFonts w:ascii="宋体" w:hAnsi="宋体" w:eastAsia="宋体" w:cs="Times New Roman"/>
          <w:b/>
          <w:bCs/>
          <w:spacing w:val="20"/>
          <w:sz w:val="72"/>
          <w:szCs w:val="72"/>
          <w:highlight w:val="none"/>
        </w:rPr>
      </w:pPr>
      <w:r>
        <w:rPr>
          <w:rFonts w:hint="eastAsia" w:ascii="宋体" w:hAnsi="宋体" w:eastAsia="宋体" w:cs="Times New Roman"/>
          <w:b/>
          <w:bCs/>
          <w:spacing w:val="20"/>
          <w:sz w:val="72"/>
          <w:szCs w:val="72"/>
          <w:highlight w:val="none"/>
        </w:rPr>
        <w:t xml:space="preserve">江 阴 市 政 府 采 购</w:t>
      </w:r>
      <w:r/>
    </w:p>
    <w:p>
      <w:pPr>
        <w:jc w:val="center"/>
        <w:rPr>
          <w:rFonts w:ascii="宋体" w:hAnsi="宋体" w:eastAsia="宋体" w:cs="Times New Roman"/>
          <w:b/>
          <w:bCs/>
          <w:spacing w:val="20"/>
          <w:sz w:val="72"/>
          <w:szCs w:val="72"/>
          <w:highlight w:val="none"/>
        </w:rPr>
      </w:pPr>
      <w:r>
        <w:rPr>
          <w:rFonts w:ascii="宋体" w:hAnsi="宋体" w:eastAsia="宋体" w:cs="Times New Roman"/>
          <w:b/>
          <w:bCs/>
          <w:spacing w:val="20"/>
          <w:sz w:val="72"/>
          <w:szCs w:val="72"/>
          <w:highlight w:val="none"/>
        </w:rPr>
      </w:r>
      <w:r/>
    </w:p>
    <w:p>
      <w:pPr>
        <w:jc w:val="center"/>
        <w:rPr>
          <w:rFonts w:ascii="宋体" w:hAnsi="宋体" w:eastAsia="宋体" w:cs="Times New Roman"/>
          <w:b/>
          <w:bCs/>
          <w:spacing w:val="20"/>
          <w:sz w:val="72"/>
          <w:szCs w:val="72"/>
          <w:highlight w:val="none"/>
        </w:rPr>
      </w:pPr>
      <w:r>
        <w:rPr>
          <w:rFonts w:ascii="宋体" w:hAnsi="宋体" w:eastAsia="宋体" w:cs="Times New Roman"/>
          <w:b/>
          <w:bCs/>
          <w:spacing w:val="20"/>
          <w:sz w:val="72"/>
          <w:szCs w:val="72"/>
          <w:highlight w:val="none"/>
        </w:rPr>
      </w:r>
      <w:r/>
    </w:p>
    <w:p>
      <w:pPr>
        <w:jc w:val="center"/>
        <w:rPr>
          <w:rFonts w:ascii="宋体" w:hAnsi="宋体" w:eastAsia="宋体" w:cs="Times New Roman"/>
          <w:b/>
          <w:bCs/>
          <w:spacing w:val="20"/>
          <w:sz w:val="72"/>
          <w:szCs w:val="72"/>
          <w:highlight w:val="none"/>
        </w:rPr>
      </w:pPr>
      <w:r>
        <w:rPr>
          <w:rFonts w:hint="eastAsia" w:ascii="宋体" w:hAnsi="宋体" w:eastAsia="宋体" w:cs="Times New Roman"/>
          <w:b/>
          <w:bCs/>
          <w:sz w:val="72"/>
          <w:szCs w:val="72"/>
          <w:highlight w:val="none"/>
        </w:rPr>
        <w:t xml:space="preserve">公　开　招　标</w:t>
      </w:r>
      <w:r/>
    </w:p>
    <w:p>
      <w:pPr>
        <w:jc w:val="center"/>
        <w:rPr>
          <w:rFonts w:ascii="宋体" w:hAnsi="宋体" w:eastAsia="宋体" w:cs="Times New Roman"/>
          <w:b/>
          <w:bCs/>
          <w:sz w:val="72"/>
          <w:szCs w:val="72"/>
          <w:highlight w:val="none"/>
        </w:rPr>
      </w:pPr>
      <w:r>
        <w:rPr>
          <w:rFonts w:ascii="宋体" w:hAnsi="宋体" w:eastAsia="宋体" w:cs="Times New Roman"/>
          <w:b/>
          <w:bCs/>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highlight w:val="none"/>
        </w:rPr>
        <w:t xml:space="preserve">招　标　文　件</w:t>
      </w:r>
      <w:r/>
    </w:p>
    <w:p>
      <w:pPr>
        <w:jc w:val="center"/>
        <w:rPr>
          <w:rFonts w:ascii="宋体" w:hAnsi="宋体" w:eastAsia="宋体" w:cs="Times New Roman"/>
          <w:b/>
          <w:bCs/>
          <w:sz w:val="72"/>
          <w:szCs w:val="72"/>
          <w:highlight w:val="none"/>
        </w:rPr>
      </w:pPr>
      <w:r>
        <w:rPr>
          <w:rFonts w:ascii="宋体" w:hAnsi="宋体" w:eastAsia="宋体" w:cs="Times New Roman"/>
          <w:b/>
          <w:bCs/>
          <w:sz w:val="72"/>
          <w:szCs w:val="72"/>
          <w:highlight w:val="none"/>
        </w:rPr>
      </w:r>
      <w:r/>
    </w:p>
    <w:p>
      <w:pPr>
        <w:jc w:val="center"/>
        <w:rPr>
          <w:rFonts w:ascii="宋体" w:hAnsi="宋体" w:eastAsia="宋体" w:cs="Times New Roman"/>
          <w:b/>
          <w:bCs/>
          <w:sz w:val="72"/>
          <w:szCs w:val="72"/>
          <w:highlight w:val="none"/>
        </w:rPr>
      </w:pPr>
      <w:r>
        <w:rPr>
          <w:rFonts w:ascii="宋体" w:hAnsi="宋体" w:eastAsia="宋体" w:cs="Times New Roman"/>
          <w:b/>
          <w:bCs/>
          <w:sz w:val="72"/>
          <w:szCs w:val="72"/>
          <w:highlight w:val="none"/>
        </w:rPr>
      </w:r>
      <w:r/>
    </w:p>
    <w:p>
      <w:pPr>
        <w:ind w:left="3207" w:hanging="2249"/>
        <w:spacing w:line="360" w:lineRule="auto"/>
        <w:rPr>
          <w:rFonts w:hint="eastAsia" w:ascii="宋体" w:hAnsi="宋体" w:eastAsia="宋体" w:cs="Times New Roman"/>
          <w:bCs/>
          <w:sz w:val="32"/>
          <w:szCs w:val="24"/>
          <w:highlight w:val="none"/>
          <w:lang w:eastAsia="zh-CN"/>
        </w:rPr>
      </w:pPr>
      <w:r>
        <w:rPr>
          <w:rFonts w:hint="eastAsia" w:ascii="宋体" w:hAnsi="宋体" w:eastAsia="宋体" w:cs="Times New Roman"/>
          <w:b/>
          <w:sz w:val="32"/>
          <w:szCs w:val="32"/>
          <w:highlight w:val="none"/>
        </w:rPr>
        <w:t xml:space="preserve">采购项目名称</w:t>
      </w:r>
      <w:bookmarkStart w:id="0" w:name="_Toc311189771"/>
      <w:r/>
      <w:bookmarkStart w:id="1" w:name="_Toc311189700"/>
      <w:r>
        <w:rPr>
          <w:rFonts w:hint="eastAsia" w:ascii="宋体" w:hAnsi="宋体" w:eastAsia="宋体" w:cs="Times New Roman"/>
          <w:b/>
          <w:sz w:val="32"/>
          <w:szCs w:val="32"/>
          <w:highlight w:val="none"/>
        </w:rPr>
        <w:t xml:space="preserve">：</w:t>
      </w:r>
      <w:r>
        <w:rPr>
          <w:rFonts w:hint="eastAsia" w:ascii="宋体" w:hAnsi="宋体" w:eastAsia="宋体" w:cs="宋体"/>
          <w:bCs/>
          <w:sz w:val="32"/>
          <w:szCs w:val="32"/>
          <w:highlight w:val="none"/>
          <w:lang w:eastAsia="zh-CN"/>
        </w:rPr>
        <w:t xml:space="preserve">江阴市公安局指挥中心环境升级改造项目</w:t>
      </w:r>
      <w:r/>
    </w:p>
    <w:p>
      <w:pPr>
        <w:ind w:left="1279" w:hanging="321"/>
        <w:spacing w:line="360" w:lineRule="auto"/>
        <w:rPr>
          <w:rFonts w:hint="eastAsia" w:ascii="宋体" w:hAnsi="宋体" w:eastAsia="宋体" w:cs="Times New Roman"/>
          <w:bCs/>
          <w:sz w:val="32"/>
          <w:szCs w:val="24"/>
          <w:highlight w:val="none"/>
          <w:lang w:eastAsia="zh-CN"/>
        </w:rPr>
      </w:pPr>
      <w:r>
        <w:rPr>
          <w:rFonts w:hint="eastAsia" w:ascii="宋体" w:hAnsi="宋体" w:eastAsia="宋体" w:cs="Times New Roman"/>
          <w:b/>
          <w:sz w:val="32"/>
          <w:szCs w:val="32"/>
          <w:highlight w:val="none"/>
        </w:rPr>
        <w:t xml:space="preserve">采购项</w:t>
      </w:r>
      <w:r>
        <w:rPr>
          <w:rFonts w:hint="eastAsia" w:ascii="宋体" w:hAnsi="宋体" w:eastAsia="宋体" w:cs="Batang"/>
          <w:b/>
          <w:sz w:val="32"/>
          <w:szCs w:val="32"/>
          <w:highlight w:val="none"/>
        </w:rPr>
        <w:t xml:space="preserve">目</w:t>
      </w:r>
      <w:bookmarkEnd w:id="0"/>
      <w:r/>
      <w:bookmarkEnd w:id="1"/>
      <w:r>
        <w:rPr>
          <w:rFonts w:hint="eastAsia" w:ascii="宋体" w:hAnsi="宋体" w:eastAsia="宋体" w:cs="Times New Roman"/>
          <w:b/>
          <w:bCs/>
          <w:sz w:val="32"/>
          <w:szCs w:val="32"/>
          <w:highlight w:val="none"/>
        </w:rPr>
        <w:t xml:space="preserve">编号</w:t>
      </w:r>
      <w:r>
        <w:rPr>
          <w:rFonts w:hint="eastAsia" w:ascii="宋体" w:hAnsi="宋体" w:eastAsia="宋体" w:cs="Times New Roman"/>
          <w:bCs/>
          <w:sz w:val="32"/>
          <w:szCs w:val="24"/>
          <w:highlight w:val="none"/>
        </w:rPr>
        <w:t xml:space="preserve">：</w:t>
      </w:r>
      <w:r>
        <w:rPr>
          <w:rFonts w:hint="eastAsia" w:ascii="宋体" w:hAnsi="宋体" w:eastAsia="宋体" w:cs="Times New Roman"/>
          <w:bCs/>
          <w:sz w:val="32"/>
          <w:szCs w:val="24"/>
          <w:highlight w:val="none"/>
          <w:lang w:eastAsia="zh-CN"/>
        </w:rPr>
        <w:t xml:space="preserve">JSZC-320281-JZCG-G2025-0103</w:t>
      </w:r>
      <w:r/>
    </w:p>
    <w:p>
      <w:pPr>
        <w:ind w:firstLine="964"/>
        <w:keepLines/>
        <w:keepNext/>
        <w:spacing w:line="360" w:lineRule="auto"/>
        <w:rPr>
          <w:rFonts w:ascii="宋体" w:hAnsi="宋体" w:eastAsia="宋体" w:cs="Times New Roman"/>
          <w:bCs/>
          <w:sz w:val="32"/>
          <w:szCs w:val="32"/>
          <w:highlight w:val="none"/>
        </w:rPr>
        <w:outlineLvl w:val="1"/>
      </w:pPr>
      <w:r/>
      <w:bookmarkStart w:id="2" w:name="_Toc311189772"/>
      <w:r/>
      <w:bookmarkStart w:id="3" w:name="_Toc311189701"/>
      <w:r>
        <w:rPr>
          <w:rFonts w:hint="eastAsia" w:ascii="宋体" w:hAnsi="宋体" w:eastAsia="宋体" w:cs="Times New Roman"/>
          <w:b/>
          <w:bCs/>
          <w:sz w:val="32"/>
          <w:szCs w:val="32"/>
          <w:highlight w:val="none"/>
        </w:rPr>
        <w:t xml:space="preserve">集中采</w:t>
      </w:r>
      <w:r>
        <w:rPr>
          <w:rFonts w:hint="eastAsia" w:ascii="宋体" w:hAnsi="宋体" w:eastAsia="宋体" w:cs="宋体"/>
          <w:b/>
          <w:bCs/>
          <w:sz w:val="32"/>
          <w:szCs w:val="32"/>
          <w:highlight w:val="none"/>
        </w:rPr>
        <w:t xml:space="preserve">购</w:t>
      </w:r>
      <w:r>
        <w:rPr>
          <w:rFonts w:hint="eastAsia" w:ascii="宋体" w:hAnsi="宋体" w:eastAsia="宋体" w:cs="Batang"/>
          <w:b/>
          <w:bCs/>
          <w:sz w:val="32"/>
          <w:szCs w:val="32"/>
          <w:highlight w:val="none"/>
        </w:rPr>
        <w:t xml:space="preserve">机</w:t>
      </w:r>
      <w:r>
        <w:rPr>
          <w:rFonts w:hint="eastAsia" w:ascii="宋体" w:hAnsi="宋体" w:eastAsia="宋体" w:cs="宋体"/>
          <w:b/>
          <w:bCs/>
          <w:sz w:val="32"/>
          <w:szCs w:val="32"/>
          <w:highlight w:val="none"/>
        </w:rPr>
        <w:t xml:space="preserve">构</w:t>
      </w:r>
      <w:r>
        <w:rPr>
          <w:rFonts w:hint="eastAsia" w:ascii="宋体" w:hAnsi="宋体" w:eastAsia="宋体" w:cs="Times New Roman"/>
          <w:b/>
          <w:bCs/>
          <w:sz w:val="32"/>
          <w:szCs w:val="32"/>
          <w:highlight w:val="none"/>
        </w:rPr>
        <w:t xml:space="preserve">: </w:t>
      </w:r>
      <w:r>
        <w:rPr>
          <w:rFonts w:hint="eastAsia" w:ascii="宋体" w:hAnsi="宋体" w:eastAsia="宋体" w:cs="Times New Roman"/>
          <w:bCs/>
          <w:sz w:val="32"/>
          <w:szCs w:val="32"/>
          <w:highlight w:val="none"/>
        </w:rPr>
        <w:t xml:space="preserve">江</w:t>
      </w:r>
      <w:r>
        <w:rPr>
          <w:rFonts w:hint="eastAsia" w:ascii="宋体" w:hAnsi="宋体" w:eastAsia="宋体" w:cs="宋体"/>
          <w:bCs/>
          <w:sz w:val="32"/>
          <w:szCs w:val="32"/>
          <w:highlight w:val="none"/>
        </w:rPr>
        <w:t xml:space="preserve">阴</w:t>
      </w:r>
      <w:r>
        <w:rPr>
          <w:rFonts w:hint="eastAsia" w:ascii="宋体" w:hAnsi="宋体" w:eastAsia="宋体" w:cs="Batang"/>
          <w:bCs/>
          <w:sz w:val="32"/>
          <w:szCs w:val="32"/>
          <w:highlight w:val="none"/>
        </w:rPr>
        <w:t xml:space="preserve">市政</w:t>
      </w:r>
      <w:r>
        <w:rPr>
          <w:rFonts w:hint="eastAsia" w:ascii="宋体" w:hAnsi="宋体" w:eastAsia="宋体" w:cs="Times New Roman"/>
          <w:bCs/>
          <w:sz w:val="32"/>
          <w:szCs w:val="32"/>
          <w:highlight w:val="none"/>
        </w:rPr>
        <w:t xml:space="preserve">府采</w:t>
      </w:r>
      <w:r>
        <w:rPr>
          <w:rFonts w:hint="eastAsia" w:ascii="宋体" w:hAnsi="宋体" w:eastAsia="宋体" w:cs="宋体"/>
          <w:bCs/>
          <w:sz w:val="32"/>
          <w:szCs w:val="32"/>
          <w:highlight w:val="none"/>
        </w:rPr>
        <w:t xml:space="preserve">购</w:t>
      </w:r>
      <w:r>
        <w:rPr>
          <w:rFonts w:hint="eastAsia" w:ascii="宋体" w:hAnsi="宋体" w:eastAsia="宋体" w:cs="Batang"/>
          <w:bCs/>
          <w:sz w:val="32"/>
          <w:szCs w:val="32"/>
          <w:highlight w:val="none"/>
        </w:rPr>
        <w:t xml:space="preserve">中心</w:t>
      </w:r>
      <w:bookmarkEnd w:id="2"/>
      <w:r/>
      <w:bookmarkEnd w:id="3"/>
      <w:r/>
      <w:r/>
    </w:p>
    <w:p>
      <w:pPr>
        <w:jc w:val="center"/>
        <w:rPr>
          <w:rFonts w:ascii="宋体" w:hAnsi="宋体" w:eastAsia="宋体" w:cs="Times New Roman"/>
          <w:bCs/>
          <w:sz w:val="48"/>
          <w:szCs w:val="24"/>
          <w:highlight w:val="none"/>
        </w:rPr>
      </w:pPr>
      <w:r>
        <w:rPr>
          <w:rFonts w:ascii="宋体" w:hAnsi="宋体" w:eastAsia="宋体" w:cs="Times New Roman"/>
          <w:bCs/>
          <w:sz w:val="48"/>
          <w:szCs w:val="24"/>
          <w:highlight w:val="none"/>
        </w:rPr>
      </w:r>
      <w:r/>
    </w:p>
    <w:p>
      <w:pPr>
        <w:jc w:val="center"/>
        <w:rPr>
          <w:rFonts w:ascii="宋体" w:hAnsi="宋体" w:eastAsia="宋体" w:cs="Times New Roman"/>
          <w:bCs/>
          <w:sz w:val="48"/>
          <w:szCs w:val="24"/>
          <w:highlight w:val="none"/>
        </w:rPr>
      </w:pPr>
      <w:r>
        <w:rPr>
          <w:rFonts w:ascii="宋体" w:hAnsi="宋体" w:eastAsia="宋体" w:cs="Times New Roman"/>
          <w:bCs/>
          <w:sz w:val="48"/>
          <w:szCs w:val="24"/>
          <w:highlight w:val="none"/>
        </w:rPr>
      </w:r>
      <w:r/>
    </w:p>
    <w:p>
      <w:pPr>
        <w:jc w:val="center"/>
        <w:rPr>
          <w:rFonts w:ascii="宋体" w:hAnsi="宋体" w:eastAsia="宋体" w:cs="Times New Roman"/>
          <w:bCs/>
          <w:sz w:val="48"/>
          <w:szCs w:val="24"/>
          <w:highlight w:val="none"/>
        </w:rPr>
      </w:pPr>
      <w:r>
        <w:rPr>
          <w:rFonts w:ascii="宋体" w:hAnsi="宋体" w:eastAsia="宋体" w:cs="Times New Roman"/>
          <w:bCs/>
          <w:sz w:val="48"/>
          <w:szCs w:val="24"/>
          <w:highlight w:val="none"/>
        </w:rPr>
      </w:r>
      <w:r/>
    </w:p>
    <w:p>
      <w:pPr>
        <w:jc w:val="center"/>
        <w:rPr>
          <w:rFonts w:ascii="宋体" w:hAnsi="宋体" w:eastAsia="宋体" w:cs="Times New Roman"/>
          <w:bCs/>
          <w:sz w:val="48"/>
          <w:szCs w:val="24"/>
          <w:highlight w:val="none"/>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highlight w:val="none"/>
        </w:rPr>
        <w:t xml:space="preserve">二○二</w:t>
      </w:r>
      <w:r>
        <w:rPr>
          <w:rFonts w:hint="eastAsia" w:ascii="宋体" w:hAnsi="宋体" w:eastAsia="宋体" w:cs="Times New Roman"/>
          <w:bCs/>
          <w:sz w:val="48"/>
          <w:szCs w:val="24"/>
          <w:highlight w:val="none"/>
          <w:lang w:val="en-US" w:eastAsia="zh-CN"/>
        </w:rPr>
        <w:t xml:space="preserve">五</w:t>
      </w:r>
      <w:r>
        <w:rPr>
          <w:rFonts w:hint="eastAsia" w:ascii="宋体" w:hAnsi="宋体" w:eastAsia="宋体" w:cs="Times New Roman"/>
          <w:bCs/>
          <w:sz w:val="48"/>
          <w:szCs w:val="24"/>
          <w:highlight w:val="none"/>
        </w:rPr>
        <w:t xml:space="preserve">年</w:t>
      </w:r>
      <w:r>
        <w:rPr>
          <w:rFonts w:hint="eastAsia" w:ascii="宋体" w:hAnsi="宋体" w:eastAsia="宋体" w:cs="Times New Roman"/>
          <w:bCs/>
          <w:sz w:val="48"/>
          <w:szCs w:val="24"/>
          <w:highlight w:val="none"/>
          <w:lang w:val="en-US" w:eastAsia="zh-CN"/>
        </w:rPr>
        <w:t xml:space="preserve">十二</w:t>
      </w:r>
      <w:r>
        <w:rPr>
          <w:rFonts w:hint="eastAsia" w:ascii="宋体" w:hAnsi="宋体" w:eastAsia="宋体" w:cs="Times New Roman"/>
          <w:bCs/>
          <w:sz w:val="48"/>
          <w:szCs w:val="24"/>
          <w:highlight w:val="none"/>
        </w:rPr>
        <w:t xml:space="preserve">月</w:t>
      </w:r>
      <w:r/>
    </w:p>
    <w:p>
      <w:pPr>
        <w:jc w:val="center"/>
        <w:spacing w:line="360" w:lineRule="auto"/>
        <w:rPr>
          <w:rFonts w:ascii="黑体" w:hAnsi="Times New Roman" w:eastAsia="黑体" w:cs="Times New Roman"/>
          <w:bCs/>
          <w:sz w:val="44"/>
          <w:szCs w:val="44"/>
          <w:highlight w:val="none"/>
        </w:rPr>
      </w:pPr>
      <w:r>
        <w:rPr>
          <w:rFonts w:ascii="黑体" w:hAnsi="Times New Roman" w:eastAsia="黑体" w:cs="Times New Roman"/>
          <w:bCs/>
          <w:sz w:val="44"/>
          <w:szCs w:val="44"/>
          <w:highlight w:val="none"/>
        </w:rPr>
      </w:r>
      <w:r/>
    </w:p>
    <w:p>
      <w:pPr>
        <w:jc w:val="center"/>
        <w:spacing w:line="360" w:lineRule="auto"/>
        <w:rPr>
          <w:rFonts w:ascii="黑体" w:hAnsi="Times New Roman" w:eastAsia="黑体" w:cs="Times New Roman"/>
          <w:bCs/>
          <w:sz w:val="44"/>
          <w:szCs w:val="44"/>
          <w:highlight w:val="none"/>
        </w:rPr>
        <w:outlineLvl w:val="0"/>
      </w:pPr>
      <w:r>
        <w:rPr>
          <w:rFonts w:hint="eastAsia" w:ascii="黑体" w:hAnsi="Times New Roman" w:eastAsia="黑体" w:cs="Times New Roman"/>
          <w:bCs/>
          <w:sz w:val="44"/>
          <w:szCs w:val="44"/>
          <w:highlight w:val="none"/>
        </w:rPr>
        <w:t xml:space="preserve">总　目　录</w:t>
      </w:r>
      <w:r/>
    </w:p>
    <w:p>
      <w:pPr>
        <w:jc w:val="center"/>
        <w:spacing w:line="360" w:lineRule="auto"/>
        <w:rPr>
          <w:rFonts w:ascii="黑体" w:hAnsi="Times New Roman" w:eastAsia="黑体" w:cs="Times New Roman"/>
          <w:bCs/>
          <w:sz w:val="44"/>
          <w:szCs w:val="44"/>
          <w:highlight w:val="none"/>
        </w:rPr>
      </w:pPr>
      <w:r>
        <w:rPr>
          <w:rFonts w:ascii="黑体" w:hAnsi="Times New Roman" w:eastAsia="黑体" w:cs="Times New Roman"/>
          <w:bCs/>
          <w:sz w:val="44"/>
          <w:szCs w:val="44"/>
          <w:highlight w:val="none"/>
        </w:rPr>
      </w:r>
      <w:r/>
    </w:p>
    <w:p>
      <w:pPr>
        <w:pStyle w:val="881"/>
        <w:spacing w:line="600" w:lineRule="exact"/>
        <w:tabs>
          <w:tab w:val="right" w:pos="9402" w:leader="dot"/>
        </w:tabs>
        <w:rPr>
          <w:sz w:val="30"/>
          <w:szCs w:val="30"/>
          <w:highlight w:val="none"/>
        </w:rPr>
      </w:pPr>
      <w:r>
        <w:rPr>
          <w:rFonts w:ascii="宋体" w:hAnsi="宋体" w:eastAsia="宋体" w:cs="Times New Roman"/>
          <w:bCs w:val="0"/>
          <w:sz w:val="30"/>
          <w:szCs w:val="30"/>
          <w:highlight w:val="none"/>
        </w:rPr>
        <w:fldChar w:fldCharType="begin"/>
      </w:r>
      <w:r>
        <w:rPr>
          <w:rFonts w:ascii="宋体" w:hAnsi="宋体" w:eastAsia="宋体" w:cs="Times New Roman"/>
          <w:bCs w:val="0"/>
          <w:sz w:val="30"/>
          <w:szCs w:val="30"/>
          <w:highlight w:val="none"/>
        </w:rPr>
        <w:instrText xml:space="preserve"> </w:instrText>
      </w:r>
      <w:r>
        <w:rPr>
          <w:rFonts w:hint="eastAsia" w:ascii="宋体" w:hAnsi="宋体" w:eastAsia="宋体" w:cs="Times New Roman"/>
          <w:bCs w:val="0"/>
          <w:sz w:val="30"/>
          <w:szCs w:val="30"/>
          <w:highlight w:val="none"/>
        </w:rPr>
        <w:instrText xml:space="preserve">TOC \o "1-1" \h \z \u</w:instrText>
      </w:r>
      <w:r>
        <w:rPr>
          <w:rFonts w:ascii="宋体" w:hAnsi="宋体" w:eastAsia="宋体" w:cs="Times New Roman"/>
          <w:bCs w:val="0"/>
          <w:sz w:val="30"/>
          <w:szCs w:val="30"/>
          <w:highlight w:val="none"/>
        </w:rPr>
        <w:instrText xml:space="preserve"> </w:instrText>
      </w:r>
      <w:r>
        <w:rPr>
          <w:rFonts w:ascii="宋体" w:hAnsi="宋体" w:eastAsia="宋体" w:cs="Times New Roman"/>
          <w:bCs w:val="0"/>
          <w:sz w:val="30"/>
          <w:szCs w:val="30"/>
          <w:highlight w:val="none"/>
        </w:rPr>
        <w:fldChar w:fldCharType="separate"/>
      </w:r>
      <w:r>
        <w:rPr>
          <w:highlight w:val="none"/>
        </w:rPr>
        <w:fldChar w:fldCharType="begin"/>
      </w:r>
      <w:r>
        <w:rPr>
          <w:highlight w:val="none"/>
        </w:rPr>
        <w:instrText xml:space="preserve"> HYPERLINK \l "_Toc14198" </w:instrText>
      </w:r>
      <w:r>
        <w:rPr>
          <w:highlight w:val="none"/>
        </w:rPr>
        <w:fldChar w:fldCharType="separate"/>
      </w:r>
      <w:r>
        <w:rPr>
          <w:rFonts w:hint="eastAsia"/>
          <w:sz w:val="30"/>
          <w:szCs w:val="30"/>
          <w:highlight w:val="none"/>
        </w:rPr>
        <w:t xml:space="preserve">第一章　投标邀请</w:t>
      </w:r>
      <w:r>
        <w:rPr>
          <w:sz w:val="30"/>
          <w:szCs w:val="30"/>
          <w:highlight w:val="none"/>
        </w:rPr>
        <w:tab/>
      </w:r>
      <w:r>
        <w:rPr>
          <w:sz w:val="30"/>
          <w:szCs w:val="30"/>
          <w:highlight w:val="none"/>
        </w:rPr>
        <w:fldChar w:fldCharType="begin"/>
      </w:r>
      <w:r>
        <w:rPr>
          <w:sz w:val="30"/>
          <w:szCs w:val="30"/>
          <w:highlight w:val="none"/>
        </w:rPr>
        <w:instrText xml:space="preserve"> PAGEREF _Toc14198 \h </w:instrText>
      </w:r>
      <w:r>
        <w:rPr>
          <w:sz w:val="30"/>
          <w:szCs w:val="30"/>
          <w:highlight w:val="none"/>
        </w:rPr>
        <w:fldChar w:fldCharType="separate"/>
      </w:r>
      <w:r>
        <w:rPr>
          <w:sz w:val="30"/>
          <w:szCs w:val="30"/>
          <w:highlight w:val="none"/>
        </w:rPr>
        <w:t xml:space="preserve">- 3 -</w:t>
      </w:r>
      <w:r>
        <w:rPr>
          <w:sz w:val="30"/>
          <w:szCs w:val="30"/>
          <w:highlight w:val="none"/>
        </w:rPr>
        <w:fldChar w:fldCharType="end"/>
      </w:r>
      <w:r>
        <w:rPr>
          <w:sz w:val="30"/>
          <w:szCs w:val="30"/>
          <w:highlight w:val="none"/>
        </w:rPr>
        <w:fldChar w:fldCharType="end"/>
      </w:r>
      <w:r/>
    </w:p>
    <w:p>
      <w:pPr>
        <w:pStyle w:val="881"/>
        <w:spacing w:line="600" w:lineRule="exact"/>
        <w:tabs>
          <w:tab w:val="right" w:pos="9402" w:leader="dot"/>
        </w:tabs>
        <w:rPr>
          <w:sz w:val="30"/>
          <w:szCs w:val="30"/>
          <w:highlight w:val="none"/>
        </w:rPr>
      </w:pPr>
      <w:r>
        <w:rPr>
          <w:highlight w:val="none"/>
        </w:rPr>
        <w:fldChar w:fldCharType="begin"/>
      </w:r>
      <w:r>
        <w:rPr>
          <w:highlight w:val="none"/>
        </w:rPr>
        <w:instrText xml:space="preserve"> HYPERLINK \l "_Toc13482" </w:instrText>
      </w:r>
      <w:r>
        <w:rPr>
          <w:highlight w:val="none"/>
        </w:rPr>
        <w:fldChar w:fldCharType="separate"/>
      </w:r>
      <w:r>
        <w:rPr>
          <w:rFonts w:hint="eastAsia"/>
          <w:sz w:val="30"/>
          <w:szCs w:val="30"/>
          <w:highlight w:val="none"/>
        </w:rPr>
        <w:t xml:space="preserve">第二章　投标人须知</w:t>
      </w:r>
      <w:r>
        <w:rPr>
          <w:sz w:val="30"/>
          <w:szCs w:val="30"/>
          <w:highlight w:val="none"/>
        </w:rPr>
        <w:tab/>
      </w:r>
      <w:r>
        <w:rPr>
          <w:sz w:val="30"/>
          <w:szCs w:val="30"/>
          <w:highlight w:val="none"/>
        </w:rPr>
        <w:fldChar w:fldCharType="begin"/>
      </w:r>
      <w:r>
        <w:rPr>
          <w:sz w:val="30"/>
          <w:szCs w:val="30"/>
          <w:highlight w:val="none"/>
        </w:rPr>
        <w:instrText xml:space="preserve"> PAGEREF _Toc13482 \h </w:instrText>
      </w:r>
      <w:r>
        <w:rPr>
          <w:sz w:val="30"/>
          <w:szCs w:val="30"/>
          <w:highlight w:val="none"/>
        </w:rPr>
        <w:fldChar w:fldCharType="separate"/>
      </w:r>
      <w:r>
        <w:rPr>
          <w:sz w:val="30"/>
          <w:szCs w:val="30"/>
          <w:highlight w:val="none"/>
        </w:rPr>
        <w:t xml:space="preserve">- 6 -</w:t>
      </w:r>
      <w:r>
        <w:rPr>
          <w:sz w:val="30"/>
          <w:szCs w:val="30"/>
          <w:highlight w:val="none"/>
        </w:rPr>
        <w:fldChar w:fldCharType="end"/>
      </w:r>
      <w:r>
        <w:rPr>
          <w:sz w:val="30"/>
          <w:szCs w:val="30"/>
          <w:highlight w:val="none"/>
        </w:rPr>
        <w:fldChar w:fldCharType="end"/>
      </w:r>
      <w:r/>
    </w:p>
    <w:p>
      <w:pPr>
        <w:pStyle w:val="881"/>
        <w:spacing w:line="600" w:lineRule="exact"/>
        <w:tabs>
          <w:tab w:val="right" w:pos="9402" w:leader="dot"/>
        </w:tabs>
        <w:rPr>
          <w:sz w:val="30"/>
          <w:szCs w:val="30"/>
          <w:highlight w:val="none"/>
        </w:rPr>
      </w:pPr>
      <w:r>
        <w:rPr>
          <w:highlight w:val="none"/>
        </w:rPr>
        <w:fldChar w:fldCharType="begin"/>
      </w:r>
      <w:r>
        <w:rPr>
          <w:highlight w:val="none"/>
        </w:rPr>
        <w:instrText xml:space="preserve"> HYPERLINK \l "_Toc13413" </w:instrText>
      </w:r>
      <w:r>
        <w:rPr>
          <w:highlight w:val="none"/>
        </w:rPr>
        <w:fldChar w:fldCharType="separate"/>
      </w:r>
      <w:r>
        <w:rPr>
          <w:rFonts w:hint="eastAsia"/>
          <w:sz w:val="30"/>
          <w:szCs w:val="30"/>
          <w:highlight w:val="none"/>
        </w:rPr>
        <w:t xml:space="preserve">第三章　项目要求和有关说明</w:t>
      </w:r>
      <w:r>
        <w:rPr>
          <w:sz w:val="30"/>
          <w:szCs w:val="30"/>
          <w:highlight w:val="none"/>
        </w:rPr>
        <w:tab/>
      </w:r>
      <w:r>
        <w:rPr>
          <w:sz w:val="30"/>
          <w:szCs w:val="30"/>
          <w:highlight w:val="none"/>
        </w:rPr>
        <w:fldChar w:fldCharType="begin"/>
      </w:r>
      <w:r>
        <w:rPr>
          <w:sz w:val="30"/>
          <w:szCs w:val="30"/>
          <w:highlight w:val="none"/>
        </w:rPr>
        <w:instrText xml:space="preserve"> PAGEREF _Toc13413 \h </w:instrText>
      </w:r>
      <w:r>
        <w:rPr>
          <w:sz w:val="30"/>
          <w:szCs w:val="30"/>
          <w:highlight w:val="none"/>
        </w:rPr>
        <w:fldChar w:fldCharType="separate"/>
      </w:r>
      <w:r>
        <w:rPr>
          <w:sz w:val="30"/>
          <w:szCs w:val="30"/>
          <w:highlight w:val="none"/>
        </w:rPr>
        <w:t xml:space="preserve">- 17 -</w:t>
      </w:r>
      <w:r>
        <w:rPr>
          <w:sz w:val="30"/>
          <w:szCs w:val="30"/>
          <w:highlight w:val="none"/>
        </w:rPr>
        <w:fldChar w:fldCharType="end"/>
      </w:r>
      <w:r>
        <w:rPr>
          <w:sz w:val="30"/>
          <w:szCs w:val="30"/>
          <w:highlight w:val="none"/>
        </w:rPr>
        <w:fldChar w:fldCharType="end"/>
      </w:r>
      <w:r/>
    </w:p>
    <w:p>
      <w:pPr>
        <w:pStyle w:val="881"/>
        <w:spacing w:line="600" w:lineRule="exact"/>
        <w:tabs>
          <w:tab w:val="right" w:pos="9402" w:leader="dot"/>
        </w:tabs>
        <w:rPr>
          <w:sz w:val="30"/>
          <w:szCs w:val="30"/>
          <w:highlight w:val="none"/>
        </w:rPr>
      </w:pPr>
      <w:r>
        <w:rPr>
          <w:highlight w:val="none"/>
        </w:rPr>
        <w:fldChar w:fldCharType="begin"/>
      </w:r>
      <w:r>
        <w:rPr>
          <w:highlight w:val="none"/>
        </w:rPr>
        <w:instrText xml:space="preserve"> HYPERLINK \l "_Toc10076" </w:instrText>
      </w:r>
      <w:r>
        <w:rPr>
          <w:highlight w:val="none"/>
        </w:rPr>
        <w:fldChar w:fldCharType="separate"/>
      </w:r>
      <w:r>
        <w:rPr>
          <w:rFonts w:hint="eastAsia"/>
          <w:sz w:val="30"/>
          <w:szCs w:val="30"/>
          <w:highlight w:val="none"/>
        </w:rPr>
        <w:t xml:space="preserve">第四章　评标方法和评标标准</w:t>
      </w:r>
      <w:r>
        <w:rPr>
          <w:sz w:val="30"/>
          <w:szCs w:val="30"/>
          <w:highlight w:val="none"/>
        </w:rPr>
        <w:tab/>
      </w:r>
      <w:r>
        <w:rPr>
          <w:sz w:val="30"/>
          <w:szCs w:val="30"/>
          <w:highlight w:val="none"/>
        </w:rPr>
        <w:fldChar w:fldCharType="begin"/>
      </w:r>
      <w:r>
        <w:rPr>
          <w:sz w:val="30"/>
          <w:szCs w:val="30"/>
          <w:highlight w:val="none"/>
        </w:rPr>
        <w:instrText xml:space="preserve"> PAGEREF _Toc10076 \h </w:instrText>
      </w:r>
      <w:r>
        <w:rPr>
          <w:sz w:val="30"/>
          <w:szCs w:val="30"/>
          <w:highlight w:val="none"/>
        </w:rPr>
        <w:fldChar w:fldCharType="separate"/>
      </w:r>
      <w:r>
        <w:rPr>
          <w:sz w:val="30"/>
          <w:szCs w:val="30"/>
          <w:highlight w:val="none"/>
        </w:rPr>
        <w:t xml:space="preserve">- 48 -</w:t>
      </w:r>
      <w:r>
        <w:rPr>
          <w:sz w:val="30"/>
          <w:szCs w:val="30"/>
          <w:highlight w:val="none"/>
        </w:rPr>
        <w:fldChar w:fldCharType="end"/>
      </w:r>
      <w:r>
        <w:rPr>
          <w:sz w:val="30"/>
          <w:szCs w:val="30"/>
          <w:highlight w:val="none"/>
        </w:rPr>
        <w:fldChar w:fldCharType="end"/>
      </w:r>
      <w:r/>
    </w:p>
    <w:p>
      <w:pPr>
        <w:pStyle w:val="881"/>
        <w:spacing w:line="600" w:lineRule="exact"/>
        <w:tabs>
          <w:tab w:val="right" w:pos="9402" w:leader="dot"/>
        </w:tabs>
        <w:rPr>
          <w:sz w:val="30"/>
          <w:szCs w:val="30"/>
          <w:highlight w:val="none"/>
        </w:rPr>
      </w:pPr>
      <w:r>
        <w:rPr>
          <w:highlight w:val="none"/>
        </w:rPr>
        <w:fldChar w:fldCharType="begin"/>
      </w:r>
      <w:r>
        <w:rPr>
          <w:highlight w:val="none"/>
        </w:rPr>
        <w:instrText xml:space="preserve"> HYPERLINK \l "_Toc12146" </w:instrText>
      </w:r>
      <w:r>
        <w:rPr>
          <w:highlight w:val="none"/>
        </w:rPr>
        <w:fldChar w:fldCharType="separate"/>
      </w:r>
      <w:r>
        <w:rPr>
          <w:rFonts w:hint="eastAsia"/>
          <w:sz w:val="30"/>
          <w:szCs w:val="30"/>
          <w:highlight w:val="none"/>
        </w:rPr>
        <w:t xml:space="preserve">第五章　合同书（格式）</w:t>
      </w:r>
      <w:r>
        <w:rPr>
          <w:sz w:val="30"/>
          <w:szCs w:val="30"/>
          <w:highlight w:val="none"/>
        </w:rPr>
        <w:tab/>
      </w:r>
      <w:r>
        <w:rPr>
          <w:sz w:val="30"/>
          <w:szCs w:val="30"/>
          <w:highlight w:val="none"/>
        </w:rPr>
        <w:fldChar w:fldCharType="begin"/>
      </w:r>
      <w:r>
        <w:rPr>
          <w:sz w:val="30"/>
          <w:szCs w:val="30"/>
          <w:highlight w:val="none"/>
        </w:rPr>
        <w:instrText xml:space="preserve"> PAGEREF _Toc12146 \h </w:instrText>
      </w:r>
      <w:r>
        <w:rPr>
          <w:sz w:val="30"/>
          <w:szCs w:val="30"/>
          <w:highlight w:val="none"/>
        </w:rPr>
        <w:fldChar w:fldCharType="separate"/>
      </w:r>
      <w:r>
        <w:rPr>
          <w:sz w:val="30"/>
          <w:szCs w:val="30"/>
          <w:highlight w:val="none"/>
        </w:rPr>
        <w:t xml:space="preserve">- 53 -</w:t>
      </w:r>
      <w:r>
        <w:rPr>
          <w:sz w:val="30"/>
          <w:szCs w:val="30"/>
          <w:highlight w:val="none"/>
        </w:rPr>
        <w:fldChar w:fldCharType="end"/>
      </w:r>
      <w:r>
        <w:rPr>
          <w:sz w:val="30"/>
          <w:szCs w:val="30"/>
          <w:highlight w:val="none"/>
        </w:rPr>
        <w:fldChar w:fldCharType="end"/>
      </w:r>
      <w:r/>
    </w:p>
    <w:p>
      <w:pPr>
        <w:pStyle w:val="881"/>
        <w:spacing w:line="600" w:lineRule="exact"/>
        <w:tabs>
          <w:tab w:val="right" w:pos="9402" w:leader="dot"/>
        </w:tabs>
        <w:rPr>
          <w:b w:val="0"/>
          <w:bCs w:val="0"/>
          <w:caps w:val="0"/>
          <w:sz w:val="30"/>
          <w:szCs w:val="30"/>
          <w:highlight w:val="none"/>
        </w:rPr>
      </w:pPr>
      <w:r>
        <w:rPr>
          <w:highlight w:val="none"/>
        </w:rPr>
        <w:fldChar w:fldCharType="begin"/>
      </w:r>
      <w:r>
        <w:rPr>
          <w:highlight w:val="none"/>
        </w:rPr>
        <w:instrText xml:space="preserve"> HYPERLINK \l "_Toc3567" </w:instrText>
      </w:r>
      <w:r>
        <w:rPr>
          <w:highlight w:val="none"/>
        </w:rPr>
        <w:fldChar w:fldCharType="separate"/>
      </w:r>
      <w:r>
        <w:rPr>
          <w:rFonts w:hint="eastAsia"/>
          <w:sz w:val="30"/>
          <w:szCs w:val="30"/>
          <w:highlight w:val="none"/>
        </w:rPr>
        <w:t xml:space="preserve">第六章　投标文件的组成和格式</w:t>
      </w:r>
      <w:r>
        <w:rPr>
          <w:sz w:val="30"/>
          <w:szCs w:val="30"/>
          <w:highlight w:val="none"/>
        </w:rPr>
        <w:tab/>
      </w:r>
      <w:r>
        <w:rPr>
          <w:sz w:val="30"/>
          <w:szCs w:val="30"/>
          <w:highlight w:val="none"/>
        </w:rPr>
        <w:fldChar w:fldCharType="begin"/>
      </w:r>
      <w:r>
        <w:rPr>
          <w:sz w:val="30"/>
          <w:szCs w:val="30"/>
          <w:highlight w:val="none"/>
        </w:rPr>
        <w:instrText xml:space="preserve"> PAGEREF _Toc3567 \h </w:instrText>
      </w:r>
      <w:r>
        <w:rPr>
          <w:sz w:val="30"/>
          <w:szCs w:val="30"/>
          <w:highlight w:val="none"/>
        </w:rPr>
        <w:fldChar w:fldCharType="separate"/>
      </w:r>
      <w:r>
        <w:rPr>
          <w:sz w:val="30"/>
          <w:szCs w:val="30"/>
          <w:highlight w:val="none"/>
        </w:rPr>
        <w:t xml:space="preserve">- 57 -</w:t>
      </w:r>
      <w:r>
        <w:rPr>
          <w:sz w:val="30"/>
          <w:szCs w:val="30"/>
          <w:highlight w:val="none"/>
        </w:rPr>
        <w:fldChar w:fldCharType="end"/>
      </w:r>
      <w:r>
        <w:rPr>
          <w:sz w:val="30"/>
          <w:szCs w:val="30"/>
          <w:highlight w:val="none"/>
        </w:rPr>
        <w:fldChar w:fldCharType="end"/>
      </w:r>
      <w:r/>
    </w:p>
    <w:p>
      <w:pPr>
        <w:pStyle w:val="887"/>
        <w:spacing w:line="600" w:lineRule="exact"/>
        <w:rPr>
          <w:rFonts w:ascii="宋体" w:hAnsi="宋体" w:eastAsia="宋体" w:cs="Times New Roman"/>
          <w:szCs w:val="30"/>
          <w:highlight w:val="none"/>
        </w:rPr>
        <w:outlineLvl w:val="9"/>
      </w:pPr>
      <w:r>
        <w:rPr>
          <w:rFonts w:ascii="宋体" w:hAnsi="宋体" w:eastAsia="宋体" w:cs="Times New Roman"/>
          <w:szCs w:val="30"/>
          <w:highlight w:val="none"/>
        </w:rPr>
        <w:fldChar w:fldCharType="end"/>
      </w:r>
      <w:bookmarkStart w:id="4" w:name="_Toc166593155"/>
      <w:r/>
      <w:bookmarkStart w:id="5" w:name="_Toc166593357"/>
      <w:r/>
      <w:r/>
    </w:p>
    <w:p>
      <w:pPr>
        <w:rPr>
          <w:highlight w:val="none"/>
        </w:rPr>
        <w:outlineLvl w:val="9"/>
      </w:pPr>
      <w:r>
        <w:rPr>
          <w:highlight w:val="none"/>
        </w:rPr>
      </w:r>
      <w:r/>
    </w:p>
    <w:p>
      <w:pPr>
        <w:rPr>
          <w:highlight w:val="none"/>
        </w:rPr>
      </w:pPr>
      <w:r>
        <w:rPr>
          <w:highlight w:val="none"/>
        </w:rPr>
      </w:r>
      <w:r/>
    </w:p>
    <w:p>
      <w:pPr>
        <w:rPr>
          <w:highlight w:val="none"/>
        </w:rPr>
      </w:pPr>
      <w:r>
        <w:rPr>
          <w:highlight w:val="none"/>
        </w:rPr>
      </w:r>
      <w:r/>
    </w:p>
    <w:p>
      <w:pPr>
        <w:rPr>
          <w:highlight w:val="none"/>
        </w:r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Pr>
          <w:highlight w:val="none"/>
        </w:rPr>
      </w:r>
      <w:r/>
    </w:p>
    <w:p>
      <w:pPr>
        <w:pStyle w:val="887"/>
        <w:rPr>
          <w:highlight w:val="none"/>
        </w:rPr>
        <w:outlineLvl w:val="9"/>
      </w:pPr>
      <w:r>
        <w:rPr>
          <w:highlight w:val="none"/>
        </w:rPr>
      </w:r>
      <w:bookmarkEnd w:id="4"/>
      <w:r/>
      <w:bookmarkEnd w:id="5"/>
      <w:r/>
      <w:r/>
    </w:p>
    <w:p>
      <w:pPr>
        <w:pStyle w:val="887"/>
        <w:rPr>
          <w:highlight w:val="none"/>
        </w:rPr>
      </w:pPr>
      <w:r/>
      <w:bookmarkStart w:id="6" w:name="_Toc14198"/>
      <w:r>
        <w:rPr>
          <w:rFonts w:hint="eastAsia"/>
          <w:highlight w:val="none"/>
        </w:rPr>
        <w:t xml:space="preserve">第一章　投标邀请</w:t>
      </w:r>
      <w:bookmarkEnd w:id="6"/>
      <w:r/>
      <w:r/>
    </w:p>
    <w:p>
      <w:pPr>
        <w:jc w:val="center"/>
        <w:spacing w:line="40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spacing w:line="400" w:lineRule="exact"/>
        <w:rPr>
          <w:rFonts w:ascii="宋体" w:hAnsi="宋体" w:eastAsia="宋体" w:cs="Times New Roman"/>
          <w:b/>
          <w:sz w:val="24"/>
          <w:szCs w:val="24"/>
          <w:highlight w:val="none"/>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highlight w:val="none"/>
        </w:rPr>
        <w:t xml:space="preserve">项目概况</w:t>
      </w:r>
      <w:r/>
    </w:p>
    <w:p>
      <w:pPr>
        <w:ind w:firstLine="480"/>
        <w:spacing w:line="400" w:lineRule="exact"/>
        <w:rPr>
          <w:rFonts w:ascii="宋体" w:hAnsi="宋体" w:eastAsia="宋体" w:cs="Times New Roman"/>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highlight w:val="none"/>
          <w:lang w:eastAsia="zh-CN"/>
        </w:rPr>
        <w:t xml:space="preserve">江阴市公安局指挥中心环境升级改造项目</w:t>
      </w:r>
      <w:r>
        <w:rPr>
          <w:rFonts w:hint="eastAsia" w:ascii="宋体" w:hAnsi="宋体" w:eastAsia="宋体" w:cs="Times New Roman"/>
          <w:bCs/>
          <w:sz w:val="24"/>
          <w:szCs w:val="24"/>
          <w:highlight w:val="none"/>
          <w:lang w:eastAsia="zh-CN"/>
        </w:rPr>
        <w:t xml:space="preserve">JSZC-320281-JZCG-G2025-0103</w:t>
      </w:r>
      <w:r>
        <w:rPr>
          <w:rFonts w:ascii="宋体" w:hAnsi="宋体" w:eastAsia="宋体" w:cs="Times New Roman"/>
          <w:sz w:val="24"/>
          <w:szCs w:val="24"/>
          <w:highlight w:val="none"/>
        </w:rPr>
        <w:t xml:space="preserve"> 招标项目的潜在投标人应在</w:t>
      </w:r>
      <w:r>
        <w:rPr>
          <w:rFonts w:hint="eastAsia" w:ascii="宋体" w:hAnsi="宋体" w:eastAsia="宋体" w:cs="Times New Roman"/>
          <w:sz w:val="24"/>
          <w:szCs w:val="24"/>
          <w:highlight w:val="none"/>
        </w:rPr>
        <w:t xml:space="preserve">江苏省政府采购（苏采云）平台</w:t>
      </w:r>
      <w:r>
        <w:rPr>
          <w:rFonts w:ascii="宋体" w:hAnsi="宋体" w:eastAsia="宋体" w:cs="Times New Roman"/>
          <w:sz w:val="24"/>
          <w:szCs w:val="24"/>
          <w:highlight w:val="none"/>
        </w:rPr>
        <w:t xml:space="preserve">获取招标文件，并</w:t>
      </w:r>
      <w:r>
        <w:rPr>
          <w:rFonts w:hint="eastAsia" w:ascii="宋体" w:hAnsi="宋体" w:eastAsia="宋体" w:cs="Times New Roman"/>
          <w:sz w:val="24"/>
          <w:szCs w:val="24"/>
          <w:highlight w:val="none"/>
        </w:rPr>
        <w:t xml:space="preserve">于</w:t>
      </w: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6</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01</w:t>
      </w:r>
      <w:r>
        <w:rPr>
          <w:rFonts w:hint="eastAsia" w:ascii="宋体" w:hAnsi="宋体" w:eastAsia="宋体" w:cs="Times New Roman"/>
          <w:sz w:val="24"/>
          <w:szCs w:val="24"/>
          <w:highlight w:val="none"/>
          <w:lang w:val="en-US" w:eastAsia="zh-CN"/>
        </w:rPr>
        <w:t xml:space="preserve">-16</w:t>
      </w:r>
      <w:r>
        <w:rPr>
          <w:rFonts w:hint="eastAsia" w:ascii="宋体" w:hAnsi="宋体" w:eastAsia="宋体" w:cs="Times New Roman"/>
          <w:sz w:val="24"/>
          <w:szCs w:val="24"/>
          <w:highlight w:val="none"/>
        </w:rPr>
        <w:t xml:space="preserve"> 13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0 （北京时间）前递交投标文件。</w:t>
      </w:r>
      <w:r/>
    </w:p>
    <w:p>
      <w:pPr>
        <w:spacing w:line="400" w:lineRule="exact"/>
        <w:rPr>
          <w:rFonts w:ascii="宋体" w:hAnsi="宋体" w:eastAsia="宋体" w:cs="Times New Roman"/>
          <w:b/>
          <w:sz w:val="24"/>
          <w:szCs w:val="24"/>
          <w:highlight w:val="none"/>
        </w:rPr>
      </w:pPr>
      <w:r/>
      <w:bookmarkStart w:id="7" w:name="_Toc166593156"/>
      <w:r/>
      <w:bookmarkStart w:id="8" w:name="_Toc166593358"/>
      <w:r/>
      <w:r/>
    </w:p>
    <w:p>
      <w:pPr>
        <w:spacing w:line="40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一、项目基本情况</w:t>
      </w:r>
      <w:r/>
    </w:p>
    <w:p>
      <w:pPr>
        <w:ind w:firstLine="480"/>
        <w:spacing w:line="400" w:lineRule="exact"/>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 xml:space="preserve">项目编号：</w:t>
      </w:r>
      <w:r>
        <w:rPr>
          <w:rFonts w:hint="eastAsia" w:ascii="宋体" w:hAnsi="宋体" w:eastAsia="宋体" w:cs="Times New Roman"/>
          <w:bCs/>
          <w:sz w:val="24"/>
          <w:szCs w:val="24"/>
          <w:highlight w:val="none"/>
          <w:lang w:eastAsia="zh-CN"/>
        </w:rPr>
        <w:t xml:space="preserve">JSZC-320281-JZCG-G2025-0103</w:t>
      </w:r>
      <w:r/>
    </w:p>
    <w:p>
      <w:pPr>
        <w:ind w:firstLine="480"/>
        <w:spacing w:line="400" w:lineRule="exact"/>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lang w:eastAsia="zh-CN"/>
        </w:rPr>
        <w:t xml:space="preserve">江阴市公安局指挥中心环境升级改造项目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预算金额：</w:t>
      </w:r>
      <w:r>
        <w:rPr>
          <w:rFonts w:hint="eastAsia" w:ascii="宋体" w:hAnsi="宋体"/>
          <w:color w:val="auto"/>
          <w:sz w:val="24"/>
          <w:highlight w:val="none"/>
        </w:rPr>
        <w:t xml:space="preserve">508.7</w:t>
      </w:r>
      <w:r>
        <w:rPr>
          <w:rFonts w:ascii="宋体" w:hAnsi="宋体" w:eastAsia="宋体" w:cs="Times New Roman"/>
          <w:sz w:val="24"/>
          <w:szCs w:val="24"/>
          <w:highlight w:val="none"/>
        </w:rPr>
        <w:t xml:space="preserve">万元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最高限价：</w:t>
      </w:r>
      <w:r>
        <w:rPr>
          <w:rFonts w:hint="eastAsia" w:ascii="宋体" w:hAnsi="宋体"/>
          <w:color w:val="auto"/>
          <w:sz w:val="24"/>
          <w:highlight w:val="none"/>
        </w:rPr>
        <w:t xml:space="preserve">508.7</w:t>
      </w:r>
      <w:r>
        <w:rPr>
          <w:rFonts w:hint="eastAsia" w:ascii="宋体" w:hAnsi="宋体" w:eastAsia="宋体" w:cs="Times New Roman"/>
          <w:sz w:val="24"/>
          <w:szCs w:val="24"/>
          <w:highlight w:val="none"/>
        </w:rPr>
        <w:t xml:space="preserve">万元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采购方式：公开招标</w:t>
      </w:r>
      <w:r/>
    </w:p>
    <w:p>
      <w:pPr>
        <w:ind w:firstLine="480"/>
        <w:spacing w:line="400" w:lineRule="exact"/>
        <w:rPr>
          <w:rFonts w:ascii="宋体" w:hAnsi="宋体" w:eastAsia="宋体" w:cs="Times New Roman"/>
          <w:sz w:val="24"/>
          <w:szCs w:val="28"/>
          <w:highlight w:val="none"/>
        </w:rPr>
      </w:pPr>
      <w:r>
        <w:rPr>
          <w:rFonts w:ascii="宋体" w:hAnsi="宋体" w:eastAsia="宋体" w:cs="Times New Roman"/>
          <w:sz w:val="24"/>
          <w:szCs w:val="24"/>
          <w:highlight w:val="none"/>
        </w:rPr>
        <w:t xml:space="preserve">采购需求：</w:t>
      </w:r>
      <w:r>
        <w:rPr>
          <w:rFonts w:hint="eastAsia" w:ascii="宋体" w:hAnsi="宋体" w:eastAsia="宋体" w:cs="Times New Roman"/>
          <w:sz w:val="24"/>
          <w:szCs w:val="24"/>
          <w:highlight w:val="none"/>
        </w:rPr>
        <w:t xml:space="preserve">本项目为</w:t>
      </w:r>
      <w:r>
        <w:rPr>
          <w:rFonts w:hint="eastAsia" w:ascii="宋体" w:hAnsi="宋体" w:eastAsia="宋体" w:cs="Times New Roman"/>
          <w:sz w:val="24"/>
          <w:szCs w:val="24"/>
          <w:highlight w:val="none"/>
          <w:lang w:eastAsia="zh-CN"/>
        </w:rPr>
        <w:t xml:space="preserve">江阴市公安局指挥中心环境升级改造项目</w:t>
      </w:r>
      <w:r>
        <w:rPr>
          <w:rFonts w:hint="eastAsia" w:ascii="宋体" w:hAnsi="宋体" w:eastAsia="宋体" w:cs="Times New Roman"/>
          <w:sz w:val="24"/>
          <w:szCs w:val="28"/>
          <w:highlight w:val="none"/>
        </w:rPr>
        <w:t xml:space="preserve">。</w:t>
      </w:r>
      <w:r>
        <w:rPr>
          <w:rFonts w:hint="eastAsia" w:ascii="宋体" w:hAnsi="宋体" w:eastAsia="宋体" w:cs="Times New Roman"/>
          <w:bCs/>
          <w:sz w:val="24"/>
          <w:szCs w:val="24"/>
          <w:highlight w:val="none"/>
        </w:rPr>
        <w:t xml:space="preserve">（详见招标文件）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合同履行期限：</w:t>
      </w:r>
      <w:r>
        <w:rPr>
          <w:rFonts w:hint="eastAsia" w:ascii="宋体" w:hAnsi="宋体" w:eastAsia="宋体" w:cs="Times New Roman"/>
          <w:sz w:val="24"/>
          <w:szCs w:val="24"/>
          <w:highlight w:val="none"/>
        </w:rPr>
        <w:t xml:space="preserve">详见招标文件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本项目（是/否）接受联合体投标</w:t>
      </w:r>
      <w:r>
        <w:rPr>
          <w:rFonts w:hint="eastAsia" w:ascii="宋体" w:hAnsi="宋体" w:eastAsia="宋体" w:cs="Times New Roman"/>
          <w:sz w:val="24"/>
          <w:szCs w:val="24"/>
          <w:highlight w:val="none"/>
        </w:rPr>
        <w:t xml:space="preserve">：否</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二、申请人的资格要求</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（一）满足《中华人民共和国政府采购法》第二十二条规定；</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1.提供格式条款《关于资格的声明函》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（二）落实政府采购政策需满足的资格要求：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（三）本项目的特定资格要求：</w:t>
      </w:r>
      <w:r>
        <w:rPr>
          <w:rFonts w:hint="eastAsia" w:ascii="宋体" w:hAnsi="宋体"/>
          <w:sz w:val="24"/>
          <w:highlight w:val="none"/>
        </w:rPr>
        <w:t xml:space="preserve">投标人须具备电子与智能化工程专业承包二级及以上资质</w:t>
      </w:r>
      <w:r>
        <w:rPr>
          <w:rFonts w:hint="eastAsia" w:ascii="宋体" w:hAnsi="宋体" w:eastAsia="宋体" w:cs="Times New Roman"/>
          <w:sz w:val="24"/>
          <w:szCs w:val="24"/>
          <w:highlight w:val="none"/>
        </w:rPr>
        <w:t xml:space="preserve">。</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三、获取招标文件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时间：</w:t>
      </w:r>
      <w:r>
        <w:rPr>
          <w:rFonts w:hint="eastAsia" w:ascii="宋体" w:hAnsi="宋体" w:eastAsia="宋体" w:cs="Times New Roman"/>
          <w:sz w:val="24"/>
          <w:szCs w:val="24"/>
          <w:highlight w:val="none"/>
        </w:rPr>
        <w:t xml:space="preserve">自招标文件公告发布之日起5个工作日</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地点：</w:t>
      </w:r>
      <w:r>
        <w:rPr>
          <w:rFonts w:hint="eastAsia" w:ascii="宋体" w:hAnsi="宋体" w:eastAsia="宋体" w:cs="Times New Roman"/>
          <w:sz w:val="24"/>
          <w:szCs w:val="24"/>
          <w:highlight w:val="none"/>
        </w:rPr>
        <w:t xml:space="preserve">江苏省政府采购（苏采云）平台</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方式：</w:t>
      </w:r>
      <w:r>
        <w:rPr>
          <w:rFonts w:hint="eastAsia" w:ascii="宋体" w:hAnsi="宋体" w:eastAsia="宋体" w:cs="Times New Roman"/>
          <w:sz w:val="24"/>
          <w:szCs w:val="24"/>
          <w:highlight w:val="none"/>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售价：0.00元 </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四、提交投标文件截止时间、开标时间和地点</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01</w:t>
      </w:r>
      <w:r>
        <w:rPr>
          <w:rFonts w:hint="eastAsia" w:ascii="宋体" w:hAnsi="宋体" w:eastAsia="宋体" w:cs="Times New Roman"/>
          <w:sz w:val="24"/>
          <w:szCs w:val="24"/>
          <w:highlight w:val="none"/>
          <w:lang w:val="en-US" w:eastAsia="zh-CN"/>
        </w:rPr>
        <w:t xml:space="preserve">-16 </w:t>
      </w:r>
      <w:r>
        <w:rPr>
          <w:rFonts w:hint="eastAsia" w:ascii="宋体" w:hAnsi="宋体" w:eastAsia="宋体" w:cs="Times New Roman"/>
          <w:sz w:val="24"/>
          <w:szCs w:val="24"/>
          <w:highlight w:val="none"/>
        </w:rPr>
        <w:t xml:space="preserve"> 13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0（北京时间）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地点：</w:t>
      </w:r>
      <w:r>
        <w:rPr>
          <w:rFonts w:hint="eastAsia" w:ascii="宋体" w:hAnsi="宋体" w:eastAsia="宋体" w:cs="Times New Roman"/>
          <w:sz w:val="24"/>
          <w:szCs w:val="24"/>
          <w:highlight w:val="none"/>
        </w:rPr>
        <w:t xml:space="preserve">江苏省政府采购（苏采云）平台</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五、公告期限</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自本公告发布之日起5个工作日。</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六、其他补充事宜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（一）供应商注册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1.请有意参加本项目采购活动的供应商按以下流程进行操作：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（2）办理“意源”CA数字证书和“方正”电子签章（办理地址：无锡市滨湖区观山路199号12号楼二楼9号、10号窗口 咨询电话：</w:t>
      </w:r>
      <w:r>
        <w:rPr>
          <w:rFonts w:ascii="宋体" w:hAnsi="宋体" w:eastAsia="宋体" w:cs="Times New Roman"/>
          <w:sz w:val="24"/>
          <w:szCs w:val="24"/>
          <w:highlight w:val="none"/>
        </w:rPr>
        <w:t xml:space="preserve">0510-81827781</w:t>
      </w:r>
      <w:r>
        <w:rPr>
          <w:rFonts w:hint="eastAsia" w:ascii="宋体" w:hAnsi="宋体" w:eastAsia="宋体" w:cs="Times New Roman"/>
          <w:sz w:val="24"/>
          <w:szCs w:val="24"/>
          <w:highlight w:val="none"/>
        </w:rPr>
        <w:t xml:space="preserve">），办理指南链接：http://jsxcmm.com/help/help.html。</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技术服务电话：0510-88027623（服务时间：工作日 8:30-11:00,13:00-17:00）</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（二）获取采购文件，完成项目参与</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七、对本次招标提出询问，请按以下方式联系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1.采购人信息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ascii="宋体" w:hAnsi="宋体" w:cs="宋体"/>
          <w:color w:val="auto"/>
          <w:spacing w:val="-5"/>
          <w:sz w:val="24"/>
          <w:highlight w:val="none"/>
        </w:rPr>
        <w:t xml:space="preserve">江阴市公安局</w:t>
      </w:r>
      <w:r/>
    </w:p>
    <w:p>
      <w:pPr>
        <w:ind w:firstLine="480"/>
        <w:jc w:val="left"/>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w:t>
      </w:r>
      <w:r>
        <w:rPr>
          <w:rFonts w:hint="eastAsia" w:ascii="宋体" w:hAnsi="宋体" w:eastAsia="宋体" w:cs="Times New Roman"/>
          <w:sz w:val="24"/>
          <w:szCs w:val="24"/>
          <w:highlight w:val="none"/>
        </w:rPr>
        <w:t xml:space="preserve">地址：</w:t>
      </w:r>
      <w:r>
        <w:rPr>
          <w:rFonts w:ascii="宋体" w:hAnsi="宋体" w:cs="宋体"/>
          <w:color w:val="auto"/>
          <w:spacing w:val="-12"/>
          <w:sz w:val="24"/>
          <w:highlight w:val="none"/>
        </w:rPr>
        <w:t xml:space="preserve">江阴市澄江中路110号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项目联系人：</w:t>
      </w:r>
      <w:r>
        <w:rPr>
          <w:rFonts w:hint="eastAsia" w:ascii="宋体" w:hAnsi="宋体" w:cs="宋体"/>
          <w:color w:val="auto"/>
          <w:spacing w:val="-12"/>
          <w:sz w:val="24"/>
          <w:highlight w:val="none"/>
        </w:rPr>
        <w:t xml:space="preserve">谢</w:t>
      </w:r>
      <w:r>
        <w:rPr>
          <w:rFonts w:ascii="宋体" w:hAnsi="宋体" w:cs="宋体"/>
          <w:color w:val="auto"/>
          <w:spacing w:val="-12"/>
          <w:sz w:val="24"/>
          <w:highlight w:val="none"/>
        </w:rPr>
        <w:t xml:space="preserve">先生</w:t>
      </w:r>
      <w:r/>
    </w:p>
    <w:p>
      <w:pPr>
        <w:ind w:firstLine="480"/>
        <w:spacing w:line="400" w:lineRule="exact"/>
        <w:rPr>
          <w:rFonts w:ascii="宋体" w:hAnsi="宋体" w:cs="Times New Roman"/>
          <w:sz w:val="24"/>
          <w:szCs w:val="24"/>
          <w:highlight w:val="none"/>
        </w:rPr>
      </w:pPr>
      <w:r>
        <w:rPr>
          <w:rFonts w:hint="eastAsia" w:ascii="宋体" w:hAnsi="宋体" w:eastAsia="宋体" w:cs="Times New Roman"/>
          <w:sz w:val="24"/>
          <w:szCs w:val="24"/>
          <w:highlight w:val="none"/>
        </w:rPr>
        <w:t xml:space="preserve">联系电话：0510-86826196</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2.采购代理机构信息</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江阴市政府采购中心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单位地址：</w:t>
      </w:r>
      <w:r>
        <w:rPr>
          <w:rFonts w:hint="eastAsia" w:ascii="宋体" w:hAnsi="宋体" w:eastAsia="宋体" w:cs="Times New Roman"/>
          <w:sz w:val="24"/>
          <w:szCs w:val="24"/>
          <w:highlight w:val="none"/>
        </w:rPr>
        <w:t xml:space="preserve">江阴市长江路188号6楼</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联系人：</w:t>
      </w:r>
      <w:r>
        <w:rPr>
          <w:rFonts w:hint="eastAsia" w:ascii="宋体" w:hAnsi="宋体" w:eastAsia="宋体" w:cs="Times New Roman"/>
          <w:sz w:val="24"/>
          <w:szCs w:val="24"/>
          <w:highlight w:val="none"/>
        </w:rPr>
        <w:t xml:space="preserve">周先生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联系电话：0510-880276</w:t>
      </w:r>
      <w:r>
        <w:rPr>
          <w:rFonts w:hint="eastAsia" w:ascii="宋体" w:hAnsi="宋体" w:eastAsia="宋体" w:cs="Times New Roman"/>
          <w:sz w:val="24"/>
          <w:szCs w:val="24"/>
          <w:highlight w:val="none"/>
        </w:rPr>
        <w:t xml:space="preserve">20</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3.项目联系方式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rPr>
        <w:t xml:space="preserve">周先生</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电话：0510-880276</w:t>
      </w:r>
      <w:r>
        <w:rPr>
          <w:rFonts w:hint="eastAsia" w:ascii="宋体" w:hAnsi="宋体" w:eastAsia="宋体" w:cs="Times New Roman"/>
          <w:sz w:val="24"/>
          <w:szCs w:val="24"/>
          <w:highlight w:val="none"/>
        </w:rPr>
        <w:t xml:space="preserve">20</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400" w:lineRule="exact"/>
        <w:rPr>
          <w:rFonts w:ascii="宋体" w:hAnsi="宋体" w:eastAsia="宋体" w:cs="Times New Roman"/>
          <w:sz w:val="24"/>
          <w:szCs w:val="24"/>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highlight w:val="none"/>
        </w:rPr>
      </w:r>
      <w:r/>
    </w:p>
    <w:p>
      <w:pPr>
        <w:pStyle w:val="887"/>
        <w:rPr>
          <w:highlight w:val="none"/>
        </w:rPr>
        <w:outlineLvl w:val="9"/>
      </w:pPr>
      <w:r>
        <w:rPr>
          <w:highlight w:val="none"/>
        </w:rPr>
      </w:r>
      <w:r/>
    </w:p>
    <w:p>
      <w:pPr>
        <w:pStyle w:val="887"/>
        <w:rPr>
          <w:highlight w:val="none"/>
        </w:rPr>
      </w:pPr>
      <w:r/>
      <w:bookmarkStart w:id="9" w:name="_Toc13482"/>
      <w:r>
        <w:rPr>
          <w:rFonts w:hint="eastAsia"/>
          <w:highlight w:val="none"/>
        </w:rPr>
        <w:t xml:space="preserve">第二章　</w:t>
      </w:r>
      <w:r>
        <w:rPr>
          <w:rFonts w:hint="eastAsia" w:hAnsi="宋体"/>
          <w:highlight w:val="none"/>
        </w:rPr>
        <w:t xml:space="preserve">投标人</w:t>
      </w:r>
      <w:r>
        <w:rPr>
          <w:rFonts w:hint="eastAsia"/>
          <w:highlight w:val="none"/>
        </w:rPr>
        <w:t xml:space="preserve">须知</w:t>
      </w:r>
      <w:bookmarkEnd w:id="7"/>
      <w:r/>
      <w:bookmarkEnd w:id="8"/>
      <w:r/>
      <w:bookmarkEnd w:id="9"/>
      <w:r/>
      <w:r/>
    </w:p>
    <w:p>
      <w:pPr>
        <w:spacing w:line="400" w:lineRule="exact"/>
        <w:rPr>
          <w:rFonts w:ascii="黑体" w:hAnsi="Times New Roman" w:eastAsia="黑体" w:cs="Times New Roman"/>
          <w:b/>
          <w:sz w:val="28"/>
          <w:szCs w:val="24"/>
          <w:highlight w:val="none"/>
        </w:rPr>
      </w:pPr>
      <w:r>
        <w:rPr>
          <w:rFonts w:ascii="黑体" w:hAnsi="Times New Roman" w:eastAsia="黑体" w:cs="Times New Roman"/>
          <w:b/>
          <w:sz w:val="28"/>
          <w:szCs w:val="24"/>
          <w:highlight w:val="none"/>
        </w:rPr>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b/>
          <w:sz w:val="28"/>
          <w:szCs w:val="24"/>
          <w:highlight w:val="none"/>
        </w:rPr>
        <w:t xml:space="preserve">一、</w:t>
      </w:r>
      <w:r>
        <w:rPr>
          <w:rFonts w:hint="eastAsia" w:ascii="黑体" w:hAnsi="Times New Roman" w:eastAsia="黑体" w:cs="Times New Roman"/>
          <w:sz w:val="28"/>
          <w:szCs w:val="24"/>
          <w:highlight w:val="none"/>
        </w:rPr>
        <w:t xml:space="preserve">遵循原则：</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公开透明原则、公平竞争原则、公正原则和诚实信用原则。</w:t>
      </w:r>
      <w:r/>
    </w:p>
    <w:p>
      <w:pPr>
        <w:spacing w:line="400" w:lineRule="exact"/>
        <w:rPr>
          <w:rFonts w:ascii="黑体" w:hAnsi="Times New Roman" w:eastAsia="黑体" w:cs="Times New Roman"/>
          <w:sz w:val="24"/>
          <w:szCs w:val="24"/>
          <w:highlight w:val="none"/>
        </w:rPr>
      </w:pPr>
      <w:r>
        <w:rPr>
          <w:rFonts w:hint="eastAsia" w:ascii="黑体" w:hAnsi="Times New Roman" w:eastAsia="黑体" w:cs="Times New Roman"/>
          <w:sz w:val="28"/>
          <w:szCs w:val="24"/>
          <w:highlight w:val="none"/>
        </w:rPr>
        <w:t xml:space="preserve">二、招标文件：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3、投标人应在</w:t>
      </w:r>
      <w:r>
        <w:rPr>
          <w:rFonts w:ascii="宋体" w:hAnsi="宋体" w:eastAsia="宋体" w:cs="Times New Roman"/>
          <w:sz w:val="24"/>
          <w:szCs w:val="24"/>
          <w:highlight w:val="none"/>
        </w:rPr>
        <w:t xml:space="preserve">江苏省政府采购（苏采云）平台</w:t>
      </w:r>
      <w:r>
        <w:rPr>
          <w:rFonts w:hint="eastAsia" w:ascii="宋体" w:hAnsi="宋体" w:eastAsia="宋体" w:cs="Times New Roman"/>
          <w:sz w:val="24"/>
          <w:szCs w:val="24"/>
          <w:highlight w:val="none"/>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5、招标文件仅作为本次采购投标使用。</w:t>
      </w:r>
      <w:r/>
    </w:p>
    <w:p>
      <w:pPr>
        <w:spacing w:line="400" w:lineRule="exact"/>
        <w:rPr>
          <w:rFonts w:ascii="黑体" w:hAnsi="Times New Roman" w:eastAsia="黑体" w:cs="Times New Roman"/>
          <w:sz w:val="24"/>
          <w:szCs w:val="24"/>
          <w:highlight w:val="none"/>
        </w:rPr>
      </w:pPr>
      <w:r>
        <w:rPr>
          <w:rFonts w:hint="eastAsia" w:ascii="黑体" w:hAnsi="Times New Roman" w:eastAsia="黑体" w:cs="Times New Roman"/>
          <w:sz w:val="28"/>
          <w:szCs w:val="24"/>
          <w:highlight w:val="none"/>
        </w:rPr>
        <w:t xml:space="preserve">三、招标文件的解释：</w:t>
      </w:r>
      <w:r>
        <w:rPr>
          <w:rFonts w:hint="eastAsia" w:ascii="黑体" w:hAnsi="Times New Roman" w:eastAsia="黑体" w:cs="Times New Roman"/>
          <w:sz w:val="24"/>
          <w:szCs w:val="24"/>
          <w:highlight w:val="none"/>
        </w:rPr>
        <w:tab/>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2、本文件的最终解释权归江阴市政府采购中心。</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四、招标文件的补充或修正：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五、投标文件的要求：</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投标文件由下列部分组成：</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投标函；</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开标一览表；</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报价明细表；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详细配置一览表；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商务、技术要求响应及偏离表；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hint="eastAsia" w:ascii="宋体" w:hAnsi="宋体" w:eastAsia="宋体" w:cs="Times New Roman"/>
          <w:b/>
          <w:sz w:val="24"/>
          <w:szCs w:val="24"/>
          <w:highlight w:val="none"/>
        </w:rPr>
        <w:t xml:space="preserve">*</w:t>
      </w:r>
      <w:r>
        <w:rPr>
          <w:rFonts w:hint="eastAsia" w:ascii="宋体" w:hAnsi="宋体" w:eastAsia="宋体" w:cs="Times New Roman"/>
          <w:b w:val="0"/>
          <w:bCs/>
          <w:sz w:val="24"/>
          <w:szCs w:val="24"/>
          <w:highlight w:val="none"/>
        </w:rPr>
        <w:t xml:space="preserve">第三章“项目要求和有关说明”</w:t>
      </w:r>
      <w:r>
        <w:rPr>
          <w:rFonts w:hint="eastAsia" w:ascii="宋体" w:hAnsi="宋体" w:eastAsia="宋体" w:cs="Times New Roman"/>
          <w:sz w:val="24"/>
          <w:szCs w:val="24"/>
          <w:highlight w:val="none"/>
        </w:rPr>
        <w:t xml:space="preserve">实质</w:t>
      </w:r>
      <w:r>
        <w:rPr>
          <w:rFonts w:hint="eastAsia" w:ascii="宋体" w:hAnsi="宋体" w:eastAsia="宋体" w:cs="Times New Roman"/>
          <w:b w:val="0"/>
          <w:bCs/>
          <w:sz w:val="24"/>
          <w:szCs w:val="24"/>
          <w:highlight w:val="none"/>
        </w:rPr>
        <w:t xml:space="preserve">要求中须提供的承诺书</w:t>
      </w:r>
      <w:r>
        <w:rPr>
          <w:rFonts w:hint="eastAsia" w:ascii="宋体" w:hAnsi="宋体" w:eastAsia="宋体" w:cs="Times New Roman"/>
          <w:b/>
          <w:sz w:val="24"/>
          <w:szCs w:val="24"/>
          <w:highlight w:val="none"/>
        </w:rPr>
        <w:t xml:space="preserve">；</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（7）</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资格证明文件：</w:t>
      </w:r>
      <w:r/>
    </w:p>
    <w:p>
      <w:pPr>
        <w:ind w:firstLine="964"/>
        <w:spacing w:line="400" w:lineRule="exact"/>
        <w:rPr>
          <w:rFonts w:ascii="宋体" w:hAnsi="宋体" w:eastAsia="宋体" w:cs="Times New Roman"/>
          <w:bCs/>
          <w:sz w:val="24"/>
          <w:szCs w:val="24"/>
          <w:highlight w:val="none"/>
        </w:rPr>
      </w:pPr>
      <w:r>
        <w:rPr>
          <w:rFonts w:hint="eastAsia" w:ascii="宋体" w:hAnsi="宋体" w:eastAsia="宋体" w:cs="Times New Roman"/>
          <w:b/>
          <w:bCs/>
          <w:sz w:val="24"/>
          <w:szCs w:val="28"/>
          <w:highlight w:val="none"/>
        </w:rPr>
        <w:t xml:space="preserve">文件1：提供格式条款《关于资格的声明函》</w:t>
      </w:r>
      <w:r/>
    </w:p>
    <w:p>
      <w:pPr>
        <w:ind w:firstLine="964"/>
        <w:spacing w:line="40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8"/>
          <w:highlight w:val="none"/>
        </w:rPr>
        <w:t xml:space="preserve">文件2：</w:t>
      </w:r>
      <w:r>
        <w:rPr>
          <w:rFonts w:hint="eastAsia" w:ascii="宋体" w:hAnsi="宋体" w:eastAsia="宋体" w:cs="Times New Roman"/>
          <w:bCs/>
          <w:sz w:val="24"/>
          <w:szCs w:val="24"/>
          <w:highlight w:val="none"/>
        </w:rPr>
        <w:t xml:space="preserve">法定代表人授权委托书</w:t>
      </w:r>
      <w:r>
        <w:rPr>
          <w:rFonts w:hint="eastAsia" w:ascii="宋体" w:hAnsi="宋体" w:eastAsia="宋体" w:cs="Times New Roman"/>
          <w:b/>
          <w:bCs/>
          <w:sz w:val="24"/>
          <w:szCs w:val="24"/>
          <w:highlight w:val="none"/>
        </w:rPr>
        <w:t xml:space="preserve">（法定代表人签署投标文件且亲自参与的必须提供《法定代表人亲自投标声明》）</w:t>
      </w:r>
      <w:r/>
    </w:p>
    <w:p>
      <w:pPr>
        <w:ind w:firstLine="904"/>
        <w:spacing w:line="40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文件3：</w:t>
      </w:r>
      <w:r>
        <w:rPr>
          <w:rFonts w:hint="eastAsia" w:ascii="宋体" w:hAnsi="宋体"/>
          <w:sz w:val="24"/>
          <w:highlight w:val="none"/>
        </w:rPr>
        <w:t xml:space="preserve">投标人须具备电子与智能化工程专业承包二级及以上资质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扫描件</w:t>
      </w:r>
      <w:r>
        <w:rPr>
          <w:rFonts w:hint="eastAsia" w:ascii="宋体" w:hAnsi="宋体"/>
          <w:sz w:val="24"/>
          <w:highlight w:val="none"/>
          <w:lang w:eastAsia="zh-CN"/>
        </w:rPr>
        <w:t xml:space="preserve">）</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8"/>
          <w:highlight w:val="none"/>
        </w:rPr>
        <w:t xml:space="preserve">（8）投标人</w:t>
      </w:r>
      <w:r>
        <w:rPr>
          <w:rFonts w:ascii="宋体" w:hAnsi="宋体" w:eastAsia="宋体" w:cs="Times New Roman"/>
          <w:sz w:val="24"/>
          <w:szCs w:val="28"/>
          <w:highlight w:val="none"/>
        </w:rPr>
        <w:t xml:space="preserve">认为需要提供的其他证明文件</w:t>
      </w:r>
      <w:r/>
    </w:p>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注：</w:t>
      </w:r>
      <w:r/>
    </w:p>
    <w:p>
      <w:pPr>
        <w:ind w:firstLine="480"/>
        <w:spacing w:line="400" w:lineRule="exact"/>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①其中加“*”项目若有缺失或无效，将作为无效投标文件。</w:t>
      </w:r>
      <w:r/>
    </w:p>
    <w:p>
      <w:pPr>
        <w:ind w:firstLine="480"/>
        <w:spacing w:line="400" w:lineRule="exact"/>
        <w:rPr>
          <w:rFonts w:hint="eastAsia" w:ascii="Tahoma" w:hAnsi="Tahoma" w:eastAsia="宋体" w:cs="Tahoma"/>
          <w:sz w:val="24"/>
          <w:szCs w:val="24"/>
          <w:highlight w:val="none"/>
        </w:rPr>
      </w:pPr>
      <w:r>
        <w:rPr>
          <w:rFonts w:hint="eastAsia" w:ascii="宋体" w:hAnsi="宋体" w:eastAsia="宋体" w:cs="Times New Roman"/>
          <w:sz w:val="24"/>
          <w:szCs w:val="24"/>
          <w:highlight w:val="none"/>
        </w:rPr>
        <w:t xml:space="preserve">②</w:t>
      </w:r>
      <w:r>
        <w:rPr>
          <w:rFonts w:hint="eastAsia" w:ascii="Tahoma" w:hAnsi="Tahoma" w:eastAsia="宋体" w:cs="Tahoma"/>
          <w:sz w:val="24"/>
          <w:szCs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Tahoma" w:hAnsi="Tahoma" w:eastAsia="宋体" w:cs="Tahoma"/>
          <w:sz w:val="24"/>
          <w:szCs w:val="24"/>
          <w:highlight w:val="none"/>
        </w:rPr>
      </w:pPr>
      <w:r>
        <w:rPr>
          <w:rFonts w:hint="eastAsia" w:ascii="Tahoma" w:hAnsi="Tahoma" w:eastAsia="宋体" w:cs="Tahoma"/>
          <w:sz w:val="24"/>
          <w:szCs w:val="24"/>
          <w:highlight w:val="none"/>
          <w:lang w:val="en-US" w:eastAsia="zh-CN"/>
        </w:rPr>
        <w:t xml:space="preserve">③提供以人事代理、控股子公司等代收代缴形式缴纳社保的证明的，属于无效证明文件。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④</w:t>
      </w:r>
      <w:r>
        <w:rPr>
          <w:rFonts w:hint="eastAsia" w:ascii="宋体" w:hAnsi="宋体" w:eastAsia="宋体" w:cs="Times New Roman"/>
          <w:sz w:val="24"/>
          <w:szCs w:val="24"/>
          <w:highlight w:val="none"/>
        </w:rPr>
        <w:t xml:space="preserve">投标文件构成资料为非中文时应提供中文译版。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⑤</w:t>
      </w:r>
      <w:r>
        <w:rPr>
          <w:rFonts w:hint="eastAsia" w:ascii="宋体" w:hAnsi="宋体" w:eastAsia="宋体" w:cs="Times New Roman"/>
          <w:sz w:val="24"/>
          <w:szCs w:val="24"/>
          <w:highlight w:val="none"/>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⑥</w:t>
      </w:r>
      <w:r>
        <w:rPr>
          <w:rFonts w:hint="eastAsia" w:ascii="宋体" w:hAnsi="宋体" w:eastAsia="宋体" w:cs="Times New Roman"/>
          <w:sz w:val="24"/>
          <w:szCs w:val="24"/>
          <w:highlight w:val="none"/>
        </w:rPr>
        <w:t xml:space="preserve">联合体投标的，由联合体牵头单位编制、提交投标文件。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⑦</w:t>
      </w:r>
      <w:r>
        <w:rPr>
          <w:rFonts w:hint="eastAsia" w:ascii="宋体" w:hAnsi="宋体" w:eastAsia="宋体" w:cs="Times New Roman"/>
          <w:sz w:val="24"/>
          <w:szCs w:val="24"/>
          <w:highlight w:val="none"/>
        </w:rPr>
        <w:t xml:space="preserve">本项目不接受纸质投标文件。</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六、投标文件</w:t>
      </w:r>
      <w:r>
        <w:rPr>
          <w:rFonts w:hint="eastAsia" w:ascii="黑体" w:hAnsi="Times New Roman" w:eastAsia="黑体" w:cs="Times New Roman"/>
          <w:sz w:val="28"/>
          <w:szCs w:val="28"/>
          <w:highlight w:val="none"/>
        </w:rPr>
        <w:t xml:space="preserve">的制作、提交与远程交互</w:t>
      </w:r>
      <w:r>
        <w:rPr>
          <w:rFonts w:hint="eastAsia" w:ascii="黑体" w:hAnsi="Times New Roman" w:eastAsia="黑体" w:cs="Times New Roman"/>
          <w:sz w:val="28"/>
          <w:szCs w:val="24"/>
          <w:highlight w:val="none"/>
        </w:rPr>
        <w:t xml:space="preserve">：</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从</w:t>
      </w:r>
      <w:r>
        <w:rPr>
          <w:rFonts w:ascii="宋体" w:hAnsi="宋体" w:eastAsia="宋体" w:cs="Times New Roman"/>
          <w:sz w:val="24"/>
          <w:szCs w:val="24"/>
          <w:highlight w:val="none"/>
        </w:rPr>
        <w:t xml:space="preserve">苏采云平台中免费下载文件（“项目参与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找到需要获取</w:t>
      </w:r>
      <w:r>
        <w:rPr>
          <w:rFonts w:hint="eastAsia" w:ascii="宋体" w:hAnsi="宋体" w:eastAsia="宋体" w:cs="Times New Roman"/>
          <w:sz w:val="24"/>
          <w:szCs w:val="24"/>
          <w:highlight w:val="none"/>
        </w:rPr>
        <w:t xml:space="preserve">招标文件</w:t>
      </w:r>
      <w:r>
        <w:rPr>
          <w:rFonts w:ascii="宋体" w:hAnsi="宋体" w:eastAsia="宋体" w:cs="Times New Roman"/>
          <w:sz w:val="24"/>
          <w:szCs w:val="24"/>
          <w:highlight w:val="none"/>
        </w:rPr>
        <w:t xml:space="preserve">的项目，点击“我要参与”——“参与投标”</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下载文件</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），完成项目</w:t>
      </w:r>
      <w:r>
        <w:rPr>
          <w:rFonts w:hint="eastAsia" w:ascii="宋体" w:hAnsi="宋体" w:eastAsia="宋体" w:cs="Times New Roman"/>
          <w:sz w:val="24"/>
          <w:szCs w:val="24"/>
          <w:highlight w:val="none"/>
        </w:rPr>
        <w:t xml:space="preserve">参与</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将苏采云平台中</w:t>
      </w:r>
      <w:r>
        <w:rPr>
          <w:rFonts w:ascii="宋体" w:hAnsi="宋体" w:eastAsia="宋体" w:cs="Times New Roman"/>
          <w:sz w:val="24"/>
          <w:szCs w:val="24"/>
          <w:highlight w:val="none"/>
        </w:rPr>
        <w:t xml:space="preserve">下载的</w:t>
      </w:r>
      <w:r>
        <w:rPr>
          <w:rFonts w:hint="eastAsia" w:ascii="宋体" w:hAnsi="宋体" w:eastAsia="宋体" w:cs="Times New Roman"/>
          <w:sz w:val="24"/>
          <w:szCs w:val="24"/>
          <w:highlight w:val="none"/>
        </w:rPr>
        <w:t xml:space="preserve">招标</w:t>
      </w:r>
      <w:r>
        <w:rPr>
          <w:rFonts w:ascii="宋体" w:hAnsi="宋体" w:eastAsia="宋体" w:cs="Times New Roman"/>
          <w:sz w:val="24"/>
          <w:szCs w:val="24"/>
          <w:highlight w:val="none"/>
        </w:rPr>
        <w:t xml:space="preserve">文件</w:t>
      </w:r>
      <w:r>
        <w:rPr>
          <w:rFonts w:hint="eastAsia" w:ascii="宋体" w:hAnsi="宋体" w:eastAsia="宋体" w:cs="Times New Roman"/>
          <w:sz w:val="24"/>
          <w:szCs w:val="24"/>
          <w:highlight w:val="none"/>
        </w:rPr>
        <w:t xml:space="preserve">（后缀名为“.kedt”）</w:t>
      </w:r>
      <w:r>
        <w:rPr>
          <w:rFonts w:ascii="宋体" w:hAnsi="宋体" w:eastAsia="宋体" w:cs="Times New Roman"/>
          <w:sz w:val="24"/>
          <w:szCs w:val="24"/>
          <w:highlight w:val="none"/>
        </w:rPr>
        <w:t xml:space="preserve">导入到“政府采购客户端”，离线按要求</w:t>
      </w:r>
      <w:r>
        <w:rPr>
          <w:rFonts w:hint="eastAsia" w:ascii="宋体" w:hAnsi="宋体" w:eastAsia="宋体" w:cs="Times New Roman"/>
          <w:sz w:val="24"/>
          <w:szCs w:val="24"/>
          <w:highlight w:val="none"/>
        </w:rPr>
        <w:t xml:space="preserve">编制</w:t>
      </w:r>
      <w:r>
        <w:rPr>
          <w:rFonts w:ascii="宋体" w:hAnsi="宋体" w:eastAsia="宋体" w:cs="Times New Roman"/>
          <w:sz w:val="24"/>
          <w:szCs w:val="24"/>
          <w:highlight w:val="none"/>
        </w:rPr>
        <w:t xml:space="preserve">并加密响应文件</w:t>
      </w:r>
      <w:r>
        <w:rPr>
          <w:rFonts w:hint="eastAsia" w:ascii="宋体" w:hAnsi="宋体" w:eastAsia="宋体" w:cs="Times New Roman"/>
          <w:sz w:val="24"/>
          <w:szCs w:val="24"/>
          <w:highlight w:val="none"/>
        </w:rPr>
        <w:t xml:space="preserve">（使用“CA数字证书”），</w:t>
      </w:r>
      <w:r>
        <w:rPr>
          <w:rFonts w:ascii="宋体" w:hAnsi="宋体" w:eastAsia="宋体" w:cs="Times New Roman"/>
          <w:sz w:val="24"/>
          <w:szCs w:val="24"/>
          <w:highlight w:val="none"/>
        </w:rPr>
        <w:t xml:space="preserve">导出加密的响应文件</w:t>
      </w:r>
      <w:r>
        <w:rPr>
          <w:rFonts w:hint="eastAsia" w:ascii="宋体" w:hAnsi="宋体" w:eastAsia="宋体" w:cs="Times New Roman"/>
          <w:sz w:val="24"/>
          <w:szCs w:val="24"/>
          <w:highlight w:val="none"/>
        </w:rPr>
        <w:t xml:space="preserve">（后缀名为zip，不得超过150M）并在</w:t>
      </w:r>
      <w:r>
        <w:rPr>
          <w:rFonts w:ascii="宋体" w:hAnsi="宋体" w:eastAsia="宋体" w:cs="Times New Roman"/>
          <w:sz w:val="24"/>
          <w:szCs w:val="24"/>
          <w:highlight w:val="none"/>
        </w:rPr>
        <w:t xml:space="preserve">苏采云</w:t>
      </w:r>
      <w:r>
        <w:rPr>
          <w:rFonts w:hint="eastAsia" w:ascii="宋体" w:hAnsi="宋体" w:eastAsia="宋体" w:cs="Times New Roman"/>
          <w:sz w:val="24"/>
          <w:szCs w:val="24"/>
          <w:highlight w:val="none"/>
        </w:rPr>
        <w:t xml:space="preserve">平台</w:t>
      </w:r>
      <w:r>
        <w:rPr>
          <w:rFonts w:ascii="宋体" w:hAnsi="宋体" w:eastAsia="宋体" w:cs="Times New Roman"/>
          <w:sz w:val="24"/>
          <w:szCs w:val="24"/>
          <w:highlight w:val="none"/>
        </w:rPr>
        <w:t xml:space="preserve">上传该加密的响应文件，对</w:t>
      </w:r>
      <w:r>
        <w:rPr>
          <w:rFonts w:hint="eastAsia" w:ascii="宋体" w:hAnsi="宋体" w:eastAsia="宋体" w:cs="Times New Roman"/>
          <w:sz w:val="24"/>
          <w:szCs w:val="24"/>
          <w:highlight w:val="none"/>
        </w:rPr>
        <w:t xml:space="preserve">招标</w:t>
      </w:r>
      <w:r>
        <w:rPr>
          <w:rFonts w:ascii="宋体" w:hAnsi="宋体" w:eastAsia="宋体" w:cs="Times New Roman"/>
          <w:sz w:val="24"/>
          <w:szCs w:val="24"/>
          <w:highlight w:val="none"/>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本</w:t>
      </w:r>
      <w:r>
        <w:rPr>
          <w:rFonts w:hint="eastAsia" w:ascii="宋体" w:hAnsi="宋体" w:eastAsia="宋体" w:cs="宋体"/>
          <w:sz w:val="24"/>
          <w:szCs w:val="24"/>
          <w:highlight w:val="none"/>
        </w:rPr>
        <w:t xml:space="preserve">项目</w:t>
      </w:r>
      <w:r>
        <w:rPr>
          <w:rFonts w:ascii="宋体" w:hAnsi="宋体" w:eastAsia="宋体" w:cs="宋体"/>
          <w:sz w:val="24"/>
          <w:szCs w:val="24"/>
          <w:highlight w:val="none"/>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ascii="宋体" w:hAnsi="宋体" w:eastAsia="宋体" w:cs="宋体"/>
          <w:sz w:val="24"/>
          <w:szCs w:val="24"/>
          <w:highlight w:val="none"/>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ascii="宋体" w:hAnsi="宋体" w:eastAsia="宋体" w:cs="宋体"/>
          <w:sz w:val="24"/>
          <w:szCs w:val="24"/>
          <w:highlight w:val="none"/>
        </w:rPr>
        <w:t xml:space="preserve">开标当日，投标人不必抵达开标现场</w:t>
      </w:r>
      <w:r>
        <w:rPr>
          <w:rFonts w:hint="eastAsia" w:ascii="宋体" w:hAnsi="宋体" w:eastAsia="宋体" w:cs="宋体"/>
          <w:sz w:val="24"/>
          <w:szCs w:val="24"/>
          <w:highlight w:val="none"/>
        </w:rPr>
        <w:t xml:space="preserve">；</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⑦</w:t>
      </w:r>
      <w:r>
        <w:rPr>
          <w:rFonts w:ascii="宋体" w:hAnsi="宋体" w:eastAsia="宋体" w:cs="宋体"/>
          <w:sz w:val="24"/>
          <w:szCs w:val="24"/>
          <w:highlight w:val="none"/>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⑧</w:t>
      </w:r>
      <w:r>
        <w:rPr>
          <w:rFonts w:ascii="宋体" w:hAnsi="宋体" w:eastAsia="宋体" w:cs="宋体"/>
          <w:sz w:val="24"/>
          <w:szCs w:val="24"/>
          <w:highlight w:val="none"/>
        </w:rPr>
        <w:t xml:space="preserve">为顺利实现本项目开评标的远程交互，建议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具备的软件设施有：</w:t>
      </w:r>
      <w:r>
        <w:rPr>
          <w:rFonts w:hint="eastAsia" w:ascii="宋体" w:hAnsi="宋体" w:eastAsia="宋体" w:cs="宋体"/>
          <w:sz w:val="24"/>
          <w:szCs w:val="24"/>
          <w:highlight w:val="none"/>
        </w:rPr>
        <w:t xml:space="preserve">谷歌浏览器、政府采购客户端、CA驱动等</w:t>
      </w:r>
      <w:r>
        <w:rPr>
          <w:rFonts w:ascii="宋体" w:hAnsi="宋体" w:eastAsia="宋体" w:cs="宋体"/>
          <w:sz w:val="24"/>
          <w:szCs w:val="24"/>
          <w:highlight w:val="none"/>
        </w:rPr>
        <w:t xml:space="preserve">。为保证交互效果，建议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选择封闭安静的地点参与远程交互。因</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自身软硬件配备不齐全或发生故障等问题而导致在交互过程中出现不稳定或中断等情况的，由</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自身承担一切后果。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3、投标的有效期为开标后90天。</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4、投标费用自理。</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13、不同投标人的投标文件相互混装。</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八、开标、评标：</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（一）开标</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Cs/>
          <w:sz w:val="24"/>
          <w:szCs w:val="24"/>
          <w:highlight w:val="none"/>
        </w:rPr>
        <w:t xml:space="preserve">开标由江阴市政府采购中心主持。</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开标过程由</w:t>
      </w:r>
      <w:r>
        <w:rPr>
          <w:rFonts w:hint="eastAsia" w:ascii="宋体" w:hAnsi="宋体" w:eastAsia="宋体" w:cs="Times New Roman"/>
          <w:sz w:val="24"/>
          <w:szCs w:val="24"/>
          <w:highlight w:val="none"/>
        </w:rPr>
        <w:t xml:space="preserve">江阴市政府采购中心</w:t>
      </w:r>
      <w:r>
        <w:rPr>
          <w:rFonts w:ascii="宋体" w:hAnsi="宋体" w:eastAsia="宋体" w:cs="Times New Roman"/>
          <w:sz w:val="24"/>
          <w:szCs w:val="24"/>
          <w:highlight w:val="none"/>
        </w:rPr>
        <w:t xml:space="preserve">负责记录。</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投标人未参加开标的，视同认可开标结果。</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（二）评标</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2、投标文件初审。初审分为资格性检查和符合性检查。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A、资格性检查：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（1）依据法律法规和招标文件的规定，资格审查小组对投标文件组成中的资格证明文件（文件1-</w:t>
      </w:r>
      <w:bookmarkStart w:id="39" w:name="_GoBack"/>
      <w:r/>
      <w:bookmarkEnd w:id="39"/>
      <w:r>
        <w:rPr>
          <w:rFonts w:hint="eastAsia" w:ascii="宋体" w:hAnsi="宋体" w:eastAsia="宋体" w:cs="Times New Roman"/>
          <w:sz w:val="24"/>
          <w:szCs w:val="24"/>
          <w:highlight w:val="none"/>
          <w:lang w:val="en-US" w:eastAsia="zh-CN"/>
        </w:rPr>
        <w:t xml:space="preserve">文件3</w:t>
      </w:r>
      <w:r>
        <w:rPr>
          <w:rFonts w:hint="eastAsia" w:ascii="宋体" w:hAnsi="宋体" w:eastAsia="宋体" w:cs="Times New Roman"/>
          <w:sz w:val="24"/>
          <w:szCs w:val="24"/>
          <w:highlight w:val="none"/>
        </w:rPr>
        <w:t xml:space="preserve">）等进行审查，以确定投标单位是否具备投标资格。</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highlight w:val="none"/>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B、符合性检查：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（a）投标文件载明的采购项目的完成期限超过招标文件规定的期限</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（b）投标文件严重背离招标文件中确定的技术功能要求</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（c）投标文件附有采购人不能接受的商务条件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（d）不符合招标文件中规定的其他实质性要求</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如果投标文件没有实质上响应招标文件的要求，</w:t>
      </w:r>
      <w:r>
        <w:rPr>
          <w:rFonts w:ascii="宋体" w:hAnsi="宋体" w:eastAsia="宋体" w:cs="Times New Roman"/>
          <w:sz w:val="24"/>
          <w:szCs w:val="24"/>
          <w:highlight w:val="none"/>
        </w:rPr>
        <w:t xml:space="preserve">评标委员会</w:t>
      </w:r>
      <w:r>
        <w:rPr>
          <w:rFonts w:hint="eastAsia" w:ascii="宋体" w:hAnsi="宋体" w:eastAsia="宋体" w:cs="Times New Roman"/>
          <w:sz w:val="24"/>
          <w:szCs w:val="24"/>
          <w:highlight w:val="none"/>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4、投标文件的澄清：</w:t>
      </w:r>
      <w:r>
        <w:rPr>
          <w:rFonts w:ascii="宋体" w:hAnsi="宋体" w:eastAsia="宋体" w:cs="Times New Roman"/>
          <w:sz w:val="24"/>
          <w:szCs w:val="24"/>
          <w:highlight w:val="none"/>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投标人的澄清、说明或者补正应当采用书面形式，并加盖公章，或者由法定代表人或其授权</w:t>
      </w:r>
      <w:r>
        <w:rPr>
          <w:rFonts w:hint="eastAsia" w:ascii="宋体" w:hAnsi="宋体" w:eastAsia="宋体" w:cs="Times New Roman"/>
          <w:sz w:val="24"/>
          <w:szCs w:val="24"/>
          <w:highlight w:val="none"/>
        </w:rPr>
        <w:t xml:space="preserve">委托人</w:t>
      </w:r>
      <w:r>
        <w:rPr>
          <w:rFonts w:ascii="宋体" w:hAnsi="宋体" w:eastAsia="宋体" w:cs="Times New Roman"/>
          <w:sz w:val="24"/>
          <w:szCs w:val="24"/>
          <w:highlight w:val="none"/>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投标文件报价出现前后不一致的，按照下列规定修正：</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（二）大写金额和小写金额不一致的，以大写金额为准；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同时出现两种以上不一致的，按照前款规定的顺序修正。修正后的报价按照</w:t>
      </w:r>
      <w:r>
        <w:rPr>
          <w:rFonts w:hint="eastAsia" w:ascii="宋体" w:hAnsi="宋体" w:eastAsia="宋体" w:cs="Times New Roman"/>
          <w:sz w:val="24"/>
          <w:szCs w:val="24"/>
          <w:highlight w:val="none"/>
        </w:rPr>
        <w:t xml:space="preserve">《政府采购货物和服务招标投标管理办法》</w:t>
      </w:r>
      <w:r>
        <w:rPr>
          <w:rFonts w:ascii="宋体" w:hAnsi="宋体" w:eastAsia="宋体" w:cs="Times New Roman"/>
          <w:sz w:val="24"/>
          <w:szCs w:val="24"/>
          <w:highlight w:val="none"/>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6、异常低价投标（响应）审查</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2）启动异常低价投标（响应）审查后，评标（评审）委员会应当要求相关供应商在评标现场合理的时间内,提供项目具体成本测算等与报价合理性相关的书面说明及相关证明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highlight w:val="none"/>
        </w:rPr>
        <w:t xml:space="preserve">政府采购中心</w:t>
      </w:r>
      <w:r>
        <w:rPr>
          <w:rFonts w:ascii="宋体" w:hAnsi="宋体" w:eastAsia="宋体" w:cs="Times New Roman"/>
          <w:sz w:val="24"/>
          <w:szCs w:val="24"/>
          <w:highlight w:val="none"/>
        </w:rPr>
        <w:t xml:space="preserve">沟通并作书面记录。采购人或者</w:t>
      </w:r>
      <w:r>
        <w:rPr>
          <w:rFonts w:hint="eastAsia" w:ascii="宋体" w:hAnsi="宋体" w:eastAsia="宋体" w:cs="Times New Roman"/>
          <w:sz w:val="24"/>
          <w:szCs w:val="24"/>
          <w:highlight w:val="none"/>
        </w:rPr>
        <w:t xml:space="preserve">政府采购中心</w:t>
      </w:r>
      <w:r>
        <w:rPr>
          <w:rFonts w:ascii="宋体" w:hAnsi="宋体" w:eastAsia="宋体" w:cs="Times New Roman"/>
          <w:sz w:val="24"/>
          <w:szCs w:val="24"/>
          <w:highlight w:val="none"/>
        </w:rPr>
        <w:t xml:space="preserve">确认后，应当修改招标文件，重新组织采购活动。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九、确定中标单位：</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1、评标委员会根据</w:t>
      </w:r>
      <w:r>
        <w:rPr>
          <w:rFonts w:hint="eastAsia" w:ascii="宋体" w:hAnsi="宋体" w:eastAsia="宋体" w:cs="Times New Roman"/>
          <w:bCs/>
          <w:sz w:val="24"/>
          <w:szCs w:val="24"/>
          <w:highlight w:val="none"/>
        </w:rPr>
        <w:t xml:space="preserve">评标方法和评标标准确定</w:t>
      </w:r>
      <w:r>
        <w:rPr>
          <w:rFonts w:hint="eastAsia" w:ascii="宋体" w:hAnsi="宋体" w:eastAsia="宋体" w:cs="Times New Roman"/>
          <w:sz w:val="24"/>
          <w:szCs w:val="24"/>
          <w:highlight w:val="none"/>
        </w:rPr>
        <w:t xml:space="preserve">第一中标候选单位，采购人确定为中标单位。</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4、江阴市政府采购中心不负责向任何投标单位说明中标或不中标的原因。</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十、质疑处理：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（1）投标单位的姓名或者名称、地址、邮编、联系人及联系电话；</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（2）质疑项目的名称、编号；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（3）具体、明确的质疑事项和与质疑事项相关的请求；</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（4）事实依据；</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（5）必要的法律依据；</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（6）提出质疑的日期。</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（8）质疑函、授权委托书格式请到江阴市公共资源交易中心网站的“政府采购</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资料下载”中下载；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5、</w:t>
      </w:r>
      <w:r>
        <w:rPr>
          <w:rFonts w:hint="eastAsia" w:ascii="宋体" w:hAnsi="宋体" w:eastAsia="宋体" w:cs="Times New Roman"/>
          <w:b/>
          <w:sz w:val="24"/>
          <w:szCs w:val="24"/>
          <w:highlight w:val="none"/>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采购人收件人：</w:t>
      </w:r>
      <w:r>
        <w:rPr>
          <w:rFonts w:hint="eastAsia" w:ascii="宋体" w:hAnsi="宋体" w:eastAsia="宋体" w:cs="Times New Roman"/>
          <w:sz w:val="24"/>
          <w:szCs w:val="24"/>
          <w:highlight w:val="none"/>
          <w:u w:val="single"/>
          <w:lang w:eastAsia="zh-CN"/>
        </w:rPr>
        <w:t xml:space="preserve">谢先生</w:t>
      </w:r>
      <w:r>
        <w:rPr>
          <w:rFonts w:hint="eastAsia" w:ascii="宋体" w:hAnsi="宋体" w:eastAsia="宋体" w:cs="Times New Roman"/>
          <w:sz w:val="24"/>
          <w:szCs w:val="24"/>
          <w:highlight w:val="none"/>
          <w:u w:val="single"/>
        </w:rPr>
        <w:t xml:space="preserve"> 收件地址：江阴市</w:t>
      </w:r>
      <w:r>
        <w:rPr>
          <w:rFonts w:hint="eastAsia" w:ascii="宋体" w:hAnsi="宋体" w:eastAsia="宋体" w:cs="Times New Roman"/>
          <w:sz w:val="24"/>
          <w:szCs w:val="24"/>
          <w:highlight w:val="none"/>
          <w:u w:val="single"/>
          <w:lang w:eastAsia="zh-CN"/>
        </w:rPr>
        <w:t xml:space="preserve">澄</w:t>
      </w:r>
      <w:r>
        <w:rPr>
          <w:rFonts w:hint="eastAsia" w:ascii="宋体" w:hAnsi="宋体" w:eastAsia="宋体" w:cs="Times New Roman"/>
          <w:sz w:val="24"/>
          <w:szCs w:val="24"/>
          <w:highlight w:val="none"/>
          <w:u w:val="single"/>
        </w:rPr>
        <w:t xml:space="preserve">江</w:t>
      </w:r>
      <w:r>
        <w:rPr>
          <w:rFonts w:hint="eastAsia" w:ascii="宋体" w:hAnsi="宋体" w:eastAsia="宋体" w:cs="Times New Roman"/>
          <w:sz w:val="24"/>
          <w:szCs w:val="24"/>
          <w:highlight w:val="none"/>
          <w:u w:val="single"/>
          <w:lang w:eastAsia="zh-CN"/>
        </w:rPr>
        <w:t xml:space="preserve">中</w:t>
      </w:r>
      <w:r>
        <w:rPr>
          <w:rFonts w:hint="eastAsia" w:ascii="宋体" w:hAnsi="宋体" w:eastAsia="宋体" w:cs="Times New Roman"/>
          <w:sz w:val="24"/>
          <w:szCs w:val="24"/>
          <w:highlight w:val="none"/>
          <w:u w:val="single"/>
        </w:rPr>
        <w:t xml:space="preserve">路1</w:t>
      </w:r>
      <w:r>
        <w:rPr>
          <w:rFonts w:hint="eastAsia" w:ascii="宋体" w:hAnsi="宋体" w:eastAsia="宋体" w:cs="Times New Roman"/>
          <w:sz w:val="24"/>
          <w:szCs w:val="24"/>
          <w:highlight w:val="none"/>
          <w:u w:val="single"/>
          <w:lang w:val="en-US" w:eastAsia="zh-CN"/>
        </w:rPr>
        <w:t xml:space="preserve">10</w:t>
      </w:r>
      <w:r>
        <w:rPr>
          <w:rFonts w:hint="eastAsia" w:ascii="宋体" w:hAnsi="宋体" w:eastAsia="宋体" w:cs="Times New Roman"/>
          <w:sz w:val="24"/>
          <w:szCs w:val="24"/>
          <w:highlight w:val="none"/>
          <w:u w:val="single"/>
        </w:rPr>
        <w:t xml:space="preserve">号</w:t>
      </w:r>
      <w:r>
        <w:rPr>
          <w:rFonts w:hint="eastAsia" w:ascii="宋体" w:hAnsi="宋体" w:eastAsia="宋体" w:cs="Times New Roman"/>
          <w:sz w:val="24"/>
          <w:szCs w:val="24"/>
          <w:highlight w:val="none"/>
          <w:u w:val="single"/>
          <w:lang w:val="en-US" w:eastAsia="zh-CN"/>
        </w:rPr>
        <w:t xml:space="preserve">1105室</w:t>
      </w:r>
      <w:r>
        <w:rPr>
          <w:rFonts w:hint="eastAsia" w:ascii="宋体" w:hAnsi="宋体" w:eastAsia="宋体" w:cs="Times New Roman"/>
          <w:sz w:val="24"/>
          <w:szCs w:val="24"/>
          <w:highlight w:val="none"/>
          <w:u w:val="single"/>
        </w:rPr>
        <w:t xml:space="preserve">  收件电话：</w:t>
      </w:r>
      <w:r>
        <w:rPr>
          <w:rFonts w:hint="eastAsia" w:ascii="宋体" w:hAnsi="宋体" w:eastAsia="宋体" w:cs="Times New Roman"/>
          <w:sz w:val="24"/>
          <w:szCs w:val="24"/>
          <w:highlight w:val="none"/>
          <w:u w:val="single"/>
          <w:lang w:val="en-US" w:eastAsia="zh-CN"/>
        </w:rPr>
        <w:t xml:space="preserve">0510-86826196</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b/>
          <w:sz w:val="24"/>
          <w:szCs w:val="24"/>
          <w:highlight w:val="none"/>
        </w:rPr>
        <w:t xml:space="preserve">投标单位应当在快递寄出后联系采购人或采购中心告知质疑函接收时间及质疑函快递单号</w:t>
      </w:r>
      <w:r>
        <w:rPr>
          <w:rFonts w:hint="eastAsia" w:ascii="宋体" w:hAnsi="宋体" w:eastAsia="宋体" w:cs="Times New Roman"/>
          <w:sz w:val="24"/>
          <w:szCs w:val="24"/>
          <w:highlight w:val="none"/>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6、潜在投标单位已依法获取其可质疑的采购文件的，可以对该文件提出质疑。</w:t>
      </w:r>
      <w:r>
        <w:rPr>
          <w:rFonts w:hint="eastAsia" w:ascii="宋体" w:hAnsi="宋体" w:eastAsia="宋体" w:cs="Times New Roman"/>
          <w:b/>
          <w:sz w:val="24"/>
          <w:szCs w:val="24"/>
          <w:highlight w:val="none"/>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highlight w:val="none"/>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highlight w:val="none"/>
        </w:rPr>
      </w:pPr>
      <w:r>
        <w:rPr>
          <w:rFonts w:hint="eastAsia" w:ascii="宋体" w:hAnsi="宋体" w:eastAsia="宋体" w:cs="Times New Roman"/>
          <w:sz w:val="24"/>
          <w:szCs w:val="24"/>
          <w:highlight w:val="none"/>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十一、采购项目的废标：</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在评标采购中，出现下列情况之一的，应予废标；</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2、出现影响采购公正的违法、违规行为的；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3、投标单位的报价均超过采购预算，采购人不能支付的；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4、因重大变故，采购任务取消的。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十二、投标保证金：</w:t>
      </w:r>
      <w:r>
        <w:rPr>
          <w:rFonts w:hint="eastAsia" w:ascii="宋体" w:hAnsi="宋体" w:eastAsia="宋体" w:cs="Times New Roman"/>
          <w:bCs/>
          <w:sz w:val="24"/>
          <w:szCs w:val="24"/>
          <w:highlight w:val="none"/>
        </w:rPr>
        <w:t xml:space="preserve">本项目免收投标保证金。</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十三、中标无效的确认：</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（一）提供虚假材料谋取中标、成交的；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（二）采取不正当手段诋毁、排挤其他投标单位的；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（三）与采购人、其他投标单位或者采购代理机构恶意串通的；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（四）向采购人、采购代理机构行贿或者提供其他不正当利益的；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（五）在招标采购过程中与采购人进行协商谈判的；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（六）拒绝有关部门监督检查或者提供虚假情况的。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投标单位有前款第（一）至（五）项情形之一的，中标无效。</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十四、签订合同：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、履约保证金的收取：合同签署</w:t>
      </w:r>
      <w:r>
        <w:rPr>
          <w:rFonts w:hint="eastAsia" w:ascii="宋体" w:hAnsi="宋体" w:eastAsia="宋体" w:cs="Times New Roman"/>
          <w:sz w:val="24"/>
          <w:szCs w:val="24"/>
          <w:highlight w:val="none"/>
        </w:rPr>
        <w:t xml:space="preserve">时</w:t>
      </w:r>
      <w:r>
        <w:rPr>
          <w:rFonts w:ascii="宋体" w:hAnsi="宋体" w:eastAsia="宋体" w:cs="Times New Roman"/>
          <w:sz w:val="24"/>
          <w:szCs w:val="24"/>
          <w:highlight w:val="none"/>
        </w:rPr>
        <w:t xml:space="preserve">，中标方向采购单位缴纳履约保证金。</w:t>
      </w:r>
      <w:r>
        <w:rPr>
          <w:rFonts w:hint="eastAsia" w:ascii="宋体" w:hAnsi="宋体" w:eastAsia="宋体" w:cs="Times New Roman"/>
          <w:bCs/>
          <w:sz w:val="24"/>
          <w:szCs w:val="24"/>
          <w:highlight w:val="none"/>
        </w:rPr>
        <w:t xml:space="preserve">中标方向采购单位缴纳的履约保证金不超过政府采购合同金额的10%</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收取履约保证金的，采购人应当允许</w:t>
      </w:r>
      <w:r>
        <w:rPr>
          <w:rFonts w:ascii="宋体" w:hAnsi="宋体" w:eastAsia="宋体" w:cs="Times New Roman"/>
          <w:bCs/>
          <w:sz w:val="24"/>
          <w:szCs w:val="24"/>
          <w:highlight w:val="none"/>
        </w:rPr>
        <w:t xml:space="preserve">供应商自主选择以支票、 汇票、 本票、 保函等非现金形式缴纳或提交，</w:t>
      </w:r>
      <w:r>
        <w:rPr>
          <w:rFonts w:hint="eastAsia" w:ascii="宋体" w:hAnsi="宋体" w:eastAsia="宋体" w:cs="Times New Roman"/>
          <w:bCs/>
          <w:sz w:val="24"/>
          <w:szCs w:val="24"/>
          <w:highlight w:val="none"/>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highlight w:val="none"/>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、履约保证金的管理及退还：采购单位应做好履约保证金的账务处理工作，实行专项管理，</w:t>
      </w:r>
      <w:r>
        <w:rPr>
          <w:rFonts w:hint="eastAsia" w:ascii="宋体" w:hAnsi="宋体" w:eastAsia="宋体" w:cs="Times New Roman"/>
          <w:sz w:val="24"/>
          <w:szCs w:val="24"/>
          <w:highlight w:val="none"/>
        </w:rPr>
        <w:t xml:space="preserve">不得违规收取、挪用、截留等</w:t>
      </w:r>
      <w:r>
        <w:rPr>
          <w:rFonts w:ascii="宋体" w:hAnsi="宋体" w:eastAsia="宋体" w:cs="Times New Roman"/>
          <w:sz w:val="24"/>
          <w:szCs w:val="24"/>
          <w:highlight w:val="none"/>
        </w:rPr>
        <w:t xml:space="preserve">其他用途。</w:t>
      </w:r>
      <w:r>
        <w:rPr>
          <w:rFonts w:hint="eastAsia" w:ascii="宋体" w:hAnsi="宋体" w:eastAsia="宋体" w:cs="Times New Roman"/>
          <w:sz w:val="24"/>
          <w:szCs w:val="24"/>
          <w:highlight w:val="none"/>
        </w:rPr>
        <w:t xml:space="preserve">采购单位按照采购合同约定及时退还履约保证金，不计利息。</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6、江阴市政府采购中心监督合同的履行，协调和处理履约过程中的问题，同时对售后</w:t>
      </w:r>
      <w:r>
        <w:rPr>
          <w:rFonts w:hint="eastAsia" w:ascii="宋体" w:hAnsi="宋体" w:eastAsia="宋体" w:cs="Times New Roman"/>
          <w:bCs/>
          <w:sz w:val="24"/>
          <w:szCs w:val="24"/>
          <w:highlight w:val="none"/>
        </w:rPr>
        <w:t xml:space="preserve">服务进行评</w:t>
      </w:r>
      <w:r>
        <w:rPr>
          <w:rFonts w:hint="eastAsia" w:ascii="宋体" w:hAnsi="宋体" w:eastAsia="宋体" w:cs="Times New Roman"/>
          <w:sz w:val="24"/>
          <w:szCs w:val="24"/>
          <w:highlight w:val="none"/>
        </w:rPr>
        <w:t xml:space="preserve">价。中标方未履行招标文件、投标文件和合同规定的义务，政府采购中心将根据具体情况提请政府采购管理部门作出相应处理。不可抗力除外。</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十五、付款方式：</w:t>
      </w:r>
      <w:r>
        <w:rPr>
          <w:rFonts w:hint="eastAsia" w:ascii="宋体" w:hAnsi="宋体" w:eastAsia="宋体" w:cs="Times New Roman"/>
          <w:sz w:val="24"/>
          <w:szCs w:val="24"/>
          <w:highlight w:val="none"/>
        </w:rPr>
        <w:t xml:space="preserve">详见项目要求。</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十六、政策功能：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zh-CN"/>
        </w:rPr>
        <w:t xml:space="preserve">1、根据《财政部、工业和信息化部关于印发《政府采购促进中小企业发展管理办法》的通知》（财库</w:t>
      </w:r>
      <w:r>
        <w:rPr>
          <w:rFonts w:hint="eastAsia" w:ascii="宋体" w:hAnsi="宋体" w:eastAsia="宋体" w:cs="Times New Roman"/>
          <w:sz w:val="24"/>
          <w:szCs w:val="24"/>
          <w:highlight w:val="none"/>
        </w:rPr>
        <w:t xml:space="preserve">[2020]</w:t>
      </w:r>
      <w:r>
        <w:rPr>
          <w:rFonts w:hint="eastAsia" w:ascii="宋体" w:hAnsi="宋体" w:eastAsia="宋体" w:cs="Times New Roman"/>
          <w:sz w:val="24"/>
          <w:szCs w:val="24"/>
          <w:highlight w:val="none"/>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highlight w:val="none"/>
        </w:rPr>
        <w:t xml:space="preserve">，给予20%的价格扣除，用扣除后的价格参与评审。参加投标的</w:t>
      </w:r>
      <w:r>
        <w:rPr>
          <w:rFonts w:hint="eastAsia" w:ascii="宋体" w:hAnsi="宋体" w:eastAsia="宋体" w:cs="Times New Roman"/>
          <w:sz w:val="24"/>
          <w:szCs w:val="24"/>
          <w:highlight w:val="none"/>
          <w:lang w:val="zh-CN"/>
        </w:rPr>
        <w:t xml:space="preserve">小型、微型企业</w:t>
      </w:r>
      <w:r>
        <w:rPr>
          <w:rFonts w:hint="eastAsia" w:ascii="宋体" w:hAnsi="宋体" w:eastAsia="宋体" w:cs="Times New Roman"/>
          <w:sz w:val="24"/>
          <w:szCs w:val="24"/>
          <w:highlight w:val="none"/>
        </w:rPr>
        <w:t xml:space="preserve">，应当出具</w:t>
      </w:r>
      <w:r>
        <w:rPr>
          <w:rFonts w:hint="eastAsia" w:ascii="宋体" w:hAnsi="宋体" w:eastAsia="宋体" w:cs="Times New Roman"/>
          <w:sz w:val="24"/>
          <w:szCs w:val="24"/>
          <w:highlight w:val="none"/>
          <w:lang w:val="zh-CN"/>
        </w:rPr>
        <w:t xml:space="preserve">《政府采购促进中小企业发展管理办法》规定的</w:t>
      </w:r>
      <w:r>
        <w:rPr>
          <w:rFonts w:hint="eastAsia" w:ascii="宋体" w:hAnsi="宋体" w:eastAsia="宋体" w:cs="Times New Roman"/>
          <w:sz w:val="24"/>
          <w:szCs w:val="24"/>
          <w:highlight w:val="none"/>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4、同一投标人，上述三项价格扣除优惠不得重复享受。</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6、中标供应商享受中小企业扶持政策的，江阴市政府采购中心将随中标结果公开中标供应商的《中小企业声明函》。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7、供应商提供声明函内容不实的，属于提供虚假材料谋取中标，依照《中华人民共和国政府采购法》等国家有关规定追究相应责任。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10、本项目中如有涉及数据库、操作系统、通用服务器、</w:t>
      </w:r>
      <w:r>
        <w:rPr>
          <w:rFonts w:hint="eastAsia" w:ascii="宋体" w:hAnsi="宋体" w:eastAsia="宋体" w:cs="Times New Roman"/>
          <w:sz w:val="24"/>
          <w:szCs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highlight w:val="none"/>
        </w:rPr>
      </w:pPr>
      <w:r>
        <w:rPr>
          <w:rFonts w:hint="eastAsia" w:ascii="黑体" w:hAnsi="宋体" w:eastAsia="黑体" w:cs="Times New Roman"/>
          <w:sz w:val="28"/>
          <w:szCs w:val="28"/>
          <w:highlight w:val="none"/>
        </w:rPr>
        <w:t xml:space="preserve">十七、履约保函政策：</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highlight w:val="none"/>
        </w:rPr>
      </w:pPr>
      <w:r>
        <w:rPr>
          <w:rFonts w:hint="eastAsia" w:ascii="黑体" w:hAnsi="宋体" w:eastAsia="黑体" w:cs="Times New Roman"/>
          <w:sz w:val="28"/>
          <w:szCs w:val="28"/>
          <w:highlight w:val="none"/>
        </w:rPr>
        <w:t xml:space="preserve">十八、政府采购合同融资：</w:t>
      </w:r>
      <w:r/>
    </w:p>
    <w:p>
      <w:pPr>
        <w:ind w:firstLine="480"/>
        <w:jc w:val="left"/>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合同融资，是指参与政府采购的供应商，凭借中标、成</w:t>
      </w:r>
      <w:r>
        <w:rPr>
          <w:rFonts w:ascii="宋体" w:hAnsi="宋体" w:eastAsia="宋体" w:cs="Times New Roman"/>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十九、质量及验收：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二十、中标服务费：</w:t>
      </w:r>
      <w:r/>
    </w:p>
    <w:p>
      <w:pPr>
        <w:ind w:firstLine="480"/>
        <w:spacing w:line="400" w:lineRule="exact"/>
        <w:rPr>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highlight w:val="none"/>
        </w:rPr>
        <w:t xml:space="preserve">本次采购，江阴市政府采购中心为中标单位提供免费服务。 </w:t>
      </w:r>
      <w:r/>
    </w:p>
    <w:p>
      <w:pPr>
        <w:pStyle w:val="887"/>
        <w:jc w:val="both"/>
        <w:rPr>
          <w:highlight w:val="none"/>
        </w:rPr>
        <w:outlineLvl w:val="9"/>
      </w:pPr>
      <w:r>
        <w:rPr>
          <w:highlight w:val="none"/>
        </w:rPr>
      </w:r>
      <w:r/>
    </w:p>
    <w:p>
      <w:pPr>
        <w:pStyle w:val="887"/>
        <w:rPr>
          <w:rFonts w:ascii="楷体_GB2312" w:hAnsi="Times New Roman" w:eastAsia="楷体_GB2312"/>
          <w:b/>
          <w:sz w:val="28"/>
          <w:szCs w:val="28"/>
          <w:highlight w:val="none"/>
        </w:rPr>
      </w:pPr>
      <w:r/>
      <w:bookmarkStart w:id="10" w:name="_Toc13413"/>
      <w:r>
        <w:rPr>
          <w:rFonts w:hint="eastAsia"/>
          <w:highlight w:val="none"/>
        </w:rPr>
        <w:t xml:space="preserve">第三章　项目要求和有关说明</w:t>
      </w:r>
      <w:bookmarkEnd w:id="10"/>
      <w:r/>
      <w:r/>
    </w:p>
    <w:p>
      <w:pPr>
        <w:jc w:val="center"/>
        <w:spacing w:line="400" w:lineRule="exact"/>
        <w:rPr>
          <w:rFonts w:ascii="宋体" w:hAnsi="宋体" w:eastAsia="宋体" w:cs="Times New Roman"/>
          <w:b/>
          <w:bCs/>
          <w:sz w:val="24"/>
          <w:szCs w:val="28"/>
          <w:highlight w:val="none"/>
        </w:rPr>
      </w:pPr>
      <w:r>
        <w:rPr>
          <w:rFonts w:hint="eastAsia" w:ascii="宋体" w:hAnsi="宋体" w:eastAsia="宋体" w:cs="Times New Roman"/>
          <w:b/>
          <w:bCs/>
          <w:sz w:val="24"/>
          <w:szCs w:val="28"/>
          <w:highlight w:val="none"/>
        </w:rPr>
        <w:t xml:space="preserve">（以下除“</w:t>
      </w:r>
      <w:r>
        <w:rPr>
          <w:rFonts w:hint="eastAsia" w:ascii="宋体" w:hAnsi="宋体" w:eastAsia="宋体" w:cs="Times New Roman"/>
          <w:b/>
          <w:bCs/>
          <w:sz w:val="24"/>
          <w:szCs w:val="28"/>
          <w:highlight w:val="none"/>
          <w:lang w:val="en-US" w:eastAsia="zh-CN"/>
        </w:rPr>
        <w:t xml:space="preserve">六、采购清单及要求</w:t>
      </w:r>
      <w:r>
        <w:rPr>
          <w:rFonts w:hint="eastAsia" w:ascii="宋体" w:hAnsi="宋体" w:eastAsia="宋体" w:cs="Times New Roman"/>
          <w:b/>
          <w:bCs/>
          <w:sz w:val="24"/>
          <w:szCs w:val="28"/>
          <w:highlight w:val="none"/>
        </w:rPr>
        <w:t xml:space="preserve">”</w:t>
      </w:r>
      <w:r>
        <w:rPr>
          <w:rFonts w:hint="eastAsia" w:ascii="宋体" w:hAnsi="宋体" w:eastAsia="宋体" w:cs="Times New Roman"/>
          <w:b/>
          <w:bCs/>
          <w:sz w:val="24"/>
          <w:szCs w:val="28"/>
          <w:highlight w:val="none"/>
          <w:lang w:val="en-US" w:eastAsia="zh-CN"/>
        </w:rPr>
        <w:t xml:space="preserve">中的非</w:t>
      </w:r>
      <w:r>
        <w:rPr>
          <w:rFonts w:hint="eastAsia" w:ascii="宋体" w:hAnsi="宋体"/>
          <w:b/>
          <w:bCs/>
          <w:sz w:val="24"/>
          <w:highlight w:val="none"/>
        </w:rPr>
        <w:t xml:space="preserve">打“★”项</w:t>
      </w:r>
      <w:r>
        <w:rPr>
          <w:rFonts w:hint="eastAsia" w:ascii="宋体" w:hAnsi="宋体" w:eastAsia="宋体" w:cs="Times New Roman"/>
          <w:b/>
          <w:bCs/>
          <w:sz w:val="24"/>
          <w:szCs w:val="28"/>
          <w:highlight w:val="none"/>
          <w:lang w:val="en-US" w:eastAsia="zh-CN"/>
        </w:rPr>
        <w:t xml:space="preserve">技术参数要求</w:t>
      </w:r>
      <w:r>
        <w:rPr>
          <w:rFonts w:hint="eastAsia" w:ascii="宋体" w:hAnsi="宋体" w:eastAsia="宋体" w:cs="Times New Roman"/>
          <w:b/>
          <w:bCs/>
          <w:sz w:val="24"/>
          <w:szCs w:val="28"/>
          <w:highlight w:val="none"/>
        </w:rPr>
        <w:t xml:space="preserve">外，其余均为实质性要求）</w:t>
      </w:r>
      <w:r/>
    </w:p>
    <w:p>
      <w:pPr>
        <w:jc w:val="center"/>
        <w:spacing w:line="400" w:lineRule="exact"/>
        <w:rPr>
          <w:rFonts w:ascii="宋体" w:hAnsi="宋体"/>
          <w:b/>
          <w:bCs/>
          <w:sz w:val="24"/>
          <w:highlight w:val="none"/>
        </w:rPr>
      </w:pPr>
      <w:r>
        <w:rPr>
          <w:rFonts w:ascii="宋体" w:hAnsi="宋体"/>
          <w:b/>
          <w:bCs/>
          <w:sz w:val="24"/>
          <w:highlight w:val="none"/>
        </w:rPr>
      </w:r>
      <w:r/>
    </w:p>
    <w:p>
      <w:pPr>
        <w:spacing w:line="400" w:lineRule="exact"/>
        <w:rPr>
          <w:rFonts w:ascii="黑体" w:hAnsi="黑体" w:eastAsia="黑体"/>
          <w:bCs/>
          <w:sz w:val="28"/>
          <w:szCs w:val="28"/>
          <w:highlight w:val="none"/>
        </w:rPr>
        <w:outlineLvl w:val="1"/>
      </w:pPr>
      <w:r>
        <w:rPr>
          <w:rFonts w:hint="eastAsia" w:ascii="黑体" w:hAnsi="黑体" w:eastAsia="黑体"/>
          <w:bCs/>
          <w:sz w:val="28"/>
          <w:szCs w:val="28"/>
          <w:highlight w:val="none"/>
        </w:rPr>
        <w:t xml:space="preserve">一、项目概述：</w:t>
      </w:r>
      <w:r/>
    </w:p>
    <w:p>
      <w:pPr>
        <w:pStyle w:val="909"/>
        <w:ind w:firstLine="480"/>
        <w:jc w:val="both"/>
        <w:spacing w:line="400" w:lineRule="exact"/>
        <w:rPr>
          <w:rFonts w:hint="eastAsia" w:ascii="宋体" w:hAnsi="宋体" w:eastAsia="宋体"/>
          <w:b w:val="0"/>
          <w:bCs/>
          <w:highlight w:val="none"/>
        </w:rPr>
      </w:pPr>
      <w:r>
        <w:rPr>
          <w:rFonts w:hint="eastAsia" w:ascii="宋体" w:hAnsi="宋体" w:eastAsia="宋体"/>
          <w:b w:val="0"/>
          <w:bCs/>
          <w:highlight w:val="none"/>
        </w:rPr>
        <w:t xml:space="preserve">本项目为</w:t>
      </w:r>
      <w:r>
        <w:rPr>
          <w:rFonts w:hint="eastAsia" w:ascii="宋体" w:hAnsi="宋体" w:eastAsia="宋体"/>
          <w:b w:val="0"/>
          <w:bCs/>
          <w:highlight w:val="none"/>
          <w:lang w:eastAsia="zh-CN"/>
        </w:rPr>
        <w:t xml:space="preserve">江阴市公安局指挥中心环境升级改造项目</w:t>
      </w:r>
      <w:r>
        <w:rPr>
          <w:rFonts w:hint="eastAsia" w:ascii="宋体" w:hAnsi="宋体" w:eastAsia="宋体"/>
          <w:b w:val="0"/>
          <w:bCs/>
          <w:highlight w:val="none"/>
        </w:rPr>
        <w:t xml:space="preserve">。</w:t>
      </w:r>
      <w:r/>
    </w:p>
    <w:p>
      <w:pPr>
        <w:pStyle w:val="909"/>
        <w:ind w:firstLine="480"/>
        <w:jc w:val="both"/>
        <w:spacing w:line="400" w:lineRule="exact"/>
        <w:rPr>
          <w:rFonts w:hint="eastAsia" w:ascii="宋体" w:hAnsi="宋体" w:eastAsia="宋体"/>
          <w:b w:val="0"/>
          <w:bCs/>
          <w:highlight w:val="none"/>
        </w:rPr>
      </w:pPr>
      <w:r>
        <w:rPr>
          <w:rFonts w:hint="eastAsia" w:ascii="宋体" w:hAnsi="宋体" w:eastAsia="宋体"/>
          <w:b w:val="0"/>
          <w:bCs/>
          <w:highlight w:val="none"/>
        </w:rPr>
        <w:t xml:space="preserve">江阴市公安局指挥中心现有大屏显示系统建设于2016年，采用的是第一代激光背投DLP方案，整套大屏幕显示系统由4行8列80英寸DLP投影单元、多屏拼接控制系统、控制软件系统及相关外围设备组成，现今出现了设备老化、光源衰减、色差明显等现象，维保困难，技术落后，无法再支撑实战部门多维作战需求。</w:t>
      </w:r>
      <w:r/>
    </w:p>
    <w:p>
      <w:pPr>
        <w:pStyle w:val="909"/>
        <w:ind w:firstLine="480"/>
        <w:jc w:val="both"/>
        <w:spacing w:line="400" w:lineRule="exact"/>
        <w:rPr>
          <w:rFonts w:hint="eastAsia" w:ascii="宋体" w:hAnsi="宋体" w:eastAsia="宋体"/>
          <w:b w:val="0"/>
          <w:bCs/>
          <w:highlight w:val="none"/>
        </w:rPr>
      </w:pPr>
      <w:r>
        <w:rPr>
          <w:rFonts w:hint="eastAsia" w:ascii="宋体" w:hAnsi="宋体" w:eastAsia="宋体"/>
          <w:b w:val="0"/>
          <w:bCs/>
          <w:highlight w:val="none"/>
        </w:rPr>
        <w:t xml:space="preserve">为满足公安指挥中心多源数据融合显示、高清视频实时回传、跨部门协同调度需求，本项目拟升级采用最新技术的COB小间距LED大屏幕，另包括显示控制系统、视频会议设备、综合布线及网络、数据及运维服务等相关内容，优化公安指挥中心可视化调度能力，提升警情处置、应急指挥的实战效能。</w:t>
      </w:r>
      <w:r/>
    </w:p>
    <w:p>
      <w:pPr>
        <w:pStyle w:val="909"/>
        <w:ind w:firstLine="480"/>
        <w:jc w:val="both"/>
        <w:spacing w:line="400" w:lineRule="exact"/>
        <w:rPr>
          <w:rFonts w:hint="eastAsia" w:ascii="宋体" w:hAnsi="宋体" w:eastAsia="宋体"/>
          <w:b w:val="0"/>
          <w:bCs/>
          <w:highlight w:val="none"/>
        </w:rPr>
      </w:pPr>
      <w:r>
        <w:rPr>
          <w:rFonts w:hint="eastAsia" w:ascii="宋体" w:hAnsi="宋体" w:eastAsia="宋体"/>
          <w:b w:val="0"/>
          <w:bCs/>
          <w:highlight w:val="none"/>
        </w:rPr>
        <w:t xml:space="preserve">本项目最高限价：508.7万元。</w:t>
      </w:r>
      <w:r/>
    </w:p>
    <w:p>
      <w:pPr>
        <w:pStyle w:val="909"/>
        <w:ind w:firstLine="480"/>
        <w:jc w:val="both"/>
        <w:spacing w:line="400" w:lineRule="exact"/>
        <w:rPr>
          <w:rFonts w:ascii="宋体" w:hAnsi="宋体" w:eastAsia="宋体"/>
          <w:b/>
          <w:highlight w:val="none"/>
        </w:rPr>
      </w:pPr>
      <w:r>
        <w:rPr>
          <w:rFonts w:hint="eastAsia" w:ascii="宋体" w:hAnsi="宋体" w:eastAsia="宋体"/>
          <w:b w:val="0"/>
          <w:bCs/>
          <w:highlight w:val="none"/>
        </w:rPr>
        <w:t xml:space="preserve">本项目标的所属行业：工业。</w:t>
      </w:r>
      <w:r/>
    </w:p>
    <w:p>
      <w:pPr>
        <w:spacing w:line="400" w:lineRule="exact"/>
        <w:rPr>
          <w:rFonts w:ascii="楷体_GB2312" w:eastAsia="楷体_GB2312"/>
          <w:b/>
          <w:bCs/>
          <w:sz w:val="24"/>
          <w:highlight w:val="none"/>
        </w:rPr>
      </w:pPr>
      <w:r>
        <w:rPr>
          <w:rFonts w:ascii="楷体_GB2312" w:eastAsia="楷体_GB2312"/>
          <w:b/>
          <w:bCs/>
          <w:sz w:val="24"/>
          <w:highlight w:val="none"/>
        </w:rPr>
      </w:r>
      <w:r/>
    </w:p>
    <w:p>
      <w:pPr>
        <w:spacing w:line="400" w:lineRule="exact"/>
        <w:rPr>
          <w:rFonts w:ascii="黑体" w:hAnsi="黑体" w:eastAsia="黑体"/>
          <w:bCs/>
          <w:sz w:val="28"/>
          <w:szCs w:val="28"/>
          <w:highlight w:val="none"/>
        </w:rPr>
        <w:outlineLvl w:val="1"/>
      </w:pPr>
      <w:r>
        <w:rPr>
          <w:rFonts w:hint="eastAsia" w:ascii="黑体" w:hAnsi="黑体" w:eastAsia="黑体"/>
          <w:bCs/>
          <w:sz w:val="28"/>
          <w:szCs w:val="28"/>
          <w:highlight w:val="none"/>
        </w:rPr>
        <w:t xml:space="preserve">二、</w:t>
      </w:r>
      <w:bookmarkStart w:id="11" w:name="_Toc51772648"/>
      <w:r>
        <w:rPr>
          <w:rFonts w:hint="eastAsia" w:ascii="黑体" w:hAnsi="黑体" w:eastAsia="黑体"/>
          <w:bCs/>
          <w:sz w:val="28"/>
          <w:szCs w:val="28"/>
          <w:highlight w:val="none"/>
        </w:rPr>
        <w:t xml:space="preserve">项目建设内容</w:t>
      </w:r>
      <w:bookmarkEnd w:id="11"/>
      <w:r>
        <w:rPr>
          <w:rFonts w:hint="eastAsia" w:ascii="黑体" w:hAnsi="黑体" w:eastAsia="黑体"/>
          <w:bCs/>
          <w:sz w:val="28"/>
          <w:szCs w:val="28"/>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本次建设内容主要包括</w:t>
      </w:r>
      <w:r>
        <w:rPr>
          <w:rFonts w:ascii="宋体" w:hAnsi="宋体"/>
          <w:color w:val="auto"/>
          <w:sz w:val="24"/>
          <w:highlight w:val="none"/>
        </w:rPr>
        <w:t xml:space="preserve">LED大屏系统、显示控制系统、视频会议设备、</w:t>
      </w:r>
      <w:r>
        <w:rPr>
          <w:rFonts w:hint="eastAsia" w:ascii="宋体" w:hAnsi="宋体"/>
          <w:color w:val="auto"/>
          <w:sz w:val="24"/>
          <w:highlight w:val="none"/>
        </w:rPr>
        <w:t xml:space="preserve">终端设备、</w:t>
      </w:r>
      <w:r>
        <w:rPr>
          <w:rFonts w:ascii="宋体" w:hAnsi="宋体"/>
          <w:color w:val="auto"/>
          <w:sz w:val="24"/>
          <w:highlight w:val="none"/>
        </w:rPr>
        <w:t xml:space="preserve">综合布线及网络、</w:t>
      </w:r>
      <w:r>
        <w:rPr>
          <w:rFonts w:hint="eastAsia" w:ascii="宋体" w:hAnsi="宋体"/>
          <w:color w:val="auto"/>
          <w:sz w:val="24"/>
          <w:highlight w:val="none"/>
        </w:rPr>
        <w:t xml:space="preserve">数据及运维服务</w:t>
      </w:r>
      <w:r>
        <w:rPr>
          <w:rFonts w:ascii="宋体" w:hAnsi="宋体"/>
          <w:color w:val="auto"/>
          <w:sz w:val="24"/>
          <w:highlight w:val="none"/>
        </w:rPr>
        <w:t xml:space="preserve">等相关内容。</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LED大屏系统：将现有DLP拼接屏升级改造为P1.25LED全彩屏,</w:t>
      </w:r>
      <w:r>
        <w:rPr>
          <w:rFonts w:hint="eastAsia" w:ascii="宋体" w:hAnsi="宋体"/>
          <w:color w:val="auto"/>
          <w:sz w:val="24"/>
          <w:highlight w:val="none"/>
        </w:rPr>
        <w:t xml:space="preserve"> 改造为像素间距为1.25毫米（P1.25）的LED点阵全彩屏,主屏显示面积不小于87.48平方米，辅屏显示面积不小于29.16平方米，合计显示面积不小于116.64平方米。升级后的</w:t>
      </w:r>
      <w:r>
        <w:rPr>
          <w:rFonts w:ascii="宋体" w:hAnsi="宋体"/>
          <w:color w:val="auto"/>
          <w:sz w:val="24"/>
          <w:highlight w:val="none"/>
        </w:rPr>
        <w:t xml:space="preserve">P1.25LED全彩屏</w:t>
      </w:r>
      <w:r>
        <w:rPr>
          <w:rFonts w:hint="eastAsia" w:ascii="宋体" w:hAnsi="宋体"/>
          <w:color w:val="auto"/>
          <w:sz w:val="24"/>
          <w:highlight w:val="none"/>
        </w:rPr>
        <w:t xml:space="preserve">可以</w:t>
      </w:r>
      <w:r>
        <w:rPr>
          <w:rFonts w:ascii="宋体" w:hAnsi="宋体"/>
          <w:color w:val="auto"/>
          <w:sz w:val="24"/>
          <w:highlight w:val="none"/>
        </w:rPr>
        <w:t xml:space="preserve">大幅度提升亮度、可视角度、色彩对比度、饱和度等显示效果，满足指挥中心长期稳定使用的需要；</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显示控制系统：配置一套高性能的</w:t>
      </w:r>
      <w:r>
        <w:rPr>
          <w:rFonts w:hint="eastAsia" w:ascii="宋体" w:hAnsi="宋体"/>
          <w:color w:val="auto"/>
          <w:sz w:val="24"/>
          <w:highlight w:val="none"/>
        </w:rPr>
        <w:t xml:space="preserve">显示控制系统</w:t>
      </w:r>
      <w:r>
        <w:rPr>
          <w:rFonts w:ascii="宋体" w:hAnsi="宋体"/>
          <w:color w:val="auto"/>
          <w:sz w:val="24"/>
          <w:highlight w:val="none"/>
        </w:rPr>
        <w:t xml:space="preserve">，集合了可视化管控，影像切换、大屏拼接、远距离传输、控制管理等强大功能，可与江阴市公安局视频汇聚平台无缝对接；</w:t>
      </w:r>
      <w:r>
        <w:rPr>
          <w:rFonts w:hint="eastAsia" w:ascii="宋体" w:hAnsi="宋体"/>
          <w:color w:val="auto"/>
          <w:sz w:val="24"/>
          <w:highlight w:val="none"/>
        </w:rPr>
        <w:t xml:space="preserve">可以远程</w:t>
      </w:r>
      <w:r>
        <w:rPr>
          <w:rFonts w:hint="eastAsia" w:ascii="宋体" w:hAnsi="宋体"/>
          <w:color w:val="auto"/>
          <w:sz w:val="24"/>
          <w:highlight w:val="none"/>
          <w:lang w:eastAsia="zh-CN"/>
        </w:rPr>
        <w:t xml:space="preserve">查</w:t>
      </w:r>
      <w:r>
        <w:rPr>
          <w:rFonts w:hint="eastAsia" w:ascii="宋体" w:hAnsi="宋体"/>
          <w:color w:val="auto"/>
          <w:sz w:val="24"/>
          <w:highlight w:val="none"/>
        </w:rPr>
        <w:t xml:space="preserve">看基层派出所等指挥室大屏画面。</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视频会议设备：配置</w:t>
      </w:r>
      <w:r>
        <w:rPr>
          <w:rFonts w:hint="eastAsia" w:ascii="宋体" w:hAnsi="宋体"/>
          <w:color w:val="auto"/>
          <w:sz w:val="24"/>
          <w:highlight w:val="none"/>
        </w:rPr>
        <w:t xml:space="preserve">视频</w:t>
      </w:r>
      <w:r>
        <w:rPr>
          <w:rFonts w:ascii="宋体" w:hAnsi="宋体"/>
          <w:color w:val="auto"/>
          <w:sz w:val="24"/>
          <w:highlight w:val="none"/>
        </w:rPr>
        <w:t xml:space="preserve">会议</w:t>
      </w:r>
      <w:r>
        <w:rPr>
          <w:rFonts w:hint="eastAsia" w:ascii="宋体" w:hAnsi="宋体"/>
          <w:color w:val="auto"/>
          <w:sz w:val="24"/>
          <w:highlight w:val="none"/>
        </w:rPr>
        <w:t xml:space="preserve">终端、网关和数字会议系统</w:t>
      </w:r>
      <w:r>
        <w:rPr>
          <w:rFonts w:ascii="宋体" w:hAnsi="宋体"/>
          <w:color w:val="auto"/>
          <w:sz w:val="24"/>
          <w:highlight w:val="none"/>
        </w:rPr>
        <w:t xml:space="preserve">设备，</w:t>
      </w:r>
      <w:r>
        <w:rPr>
          <w:rFonts w:hint="eastAsia" w:ascii="宋体" w:hAnsi="宋体"/>
          <w:color w:val="auto"/>
          <w:sz w:val="24"/>
          <w:highlight w:val="none"/>
        </w:rPr>
        <w:t xml:space="preserve">满足视频会议需求</w:t>
      </w:r>
      <w:r>
        <w:rPr>
          <w:rFonts w:ascii="宋体" w:hAnsi="宋体"/>
          <w:color w:val="auto"/>
          <w:sz w:val="24"/>
          <w:highlight w:val="none"/>
        </w:rPr>
        <w:t xml:space="preserve">；</w:t>
      </w:r>
      <w:r>
        <w:rPr>
          <w:rFonts w:hint="eastAsia" w:ascii="宋体" w:hAnsi="宋体"/>
          <w:color w:val="auto"/>
          <w:sz w:val="24"/>
          <w:highlight w:val="none"/>
        </w:rPr>
        <w:t xml:space="preserve">并完成对大厅会议音响的调校，确保会议的清晰扩声与稳定使用。</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终端设备：升级显示器</w:t>
      </w:r>
      <w:r>
        <w:rPr>
          <w:rFonts w:hint="eastAsia" w:ascii="宋体" w:hAnsi="宋体"/>
          <w:color w:val="auto"/>
          <w:sz w:val="24"/>
          <w:highlight w:val="none"/>
        </w:rPr>
        <w:t xml:space="preserve">和情指图控工作站配件</w:t>
      </w:r>
      <w:r>
        <w:rPr>
          <w:rFonts w:ascii="宋体" w:hAnsi="宋体"/>
          <w:color w:val="auto"/>
          <w:sz w:val="24"/>
          <w:highlight w:val="none"/>
        </w:rPr>
        <w:t xml:space="preserve">；</w:t>
      </w:r>
      <w:r>
        <w:rPr>
          <w:rFonts w:hint="eastAsia" w:ascii="宋体" w:hAnsi="宋体"/>
          <w:color w:val="auto"/>
          <w:sz w:val="24"/>
          <w:highlight w:val="none"/>
        </w:rPr>
        <w:t xml:space="preserve">提供高分图形应用服务</w:t>
      </w:r>
      <w:r>
        <w:rPr>
          <w:rFonts w:ascii="宋体" w:hAnsi="宋体"/>
          <w:color w:val="auto"/>
          <w:sz w:val="24"/>
          <w:highlight w:val="none"/>
        </w:rPr>
        <w:t xml:space="preserve">，满足高清视频上墙的电脑性能需求；</w:t>
      </w:r>
      <w:r>
        <w:rPr>
          <w:rFonts w:hint="eastAsia" w:ascii="宋体" w:hAnsi="宋体"/>
          <w:color w:val="auto"/>
          <w:sz w:val="24"/>
          <w:highlight w:val="none"/>
        </w:rPr>
        <w:t xml:space="preserve">配置350M警用数字PDT基地台对讲机和数字基地台馈线合路</w:t>
      </w:r>
      <w:bookmarkStart w:id="12" w:name="OLE_LINK9"/>
      <w:r>
        <w:rPr>
          <w:rFonts w:hint="eastAsia" w:ascii="宋体" w:hAnsi="宋体"/>
          <w:color w:val="auto"/>
          <w:sz w:val="24"/>
          <w:highlight w:val="none"/>
        </w:rPr>
        <w:t xml:space="preserve">改造</w:t>
      </w:r>
      <w:bookmarkEnd w:id="12"/>
      <w:r>
        <w:rPr>
          <w:rFonts w:hint="eastAsia" w:ascii="宋体" w:hAnsi="宋体"/>
          <w:color w:val="auto"/>
          <w:sz w:val="24"/>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综合布线及网络：</w:t>
      </w:r>
      <w:r>
        <w:rPr>
          <w:rFonts w:hint="eastAsia" w:ascii="宋体" w:hAnsi="宋体"/>
          <w:color w:val="auto"/>
          <w:sz w:val="24"/>
          <w:highlight w:val="none"/>
        </w:rPr>
        <w:t xml:space="preserve">指挥中心智能化改造相关</w:t>
      </w:r>
      <w:r>
        <w:rPr>
          <w:rFonts w:ascii="宋体" w:hAnsi="宋体"/>
          <w:color w:val="auto"/>
          <w:sz w:val="24"/>
          <w:highlight w:val="none"/>
        </w:rPr>
        <w:t xml:space="preserve">的综合布线及网络设备；</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6、数据及运维服务</w:t>
      </w:r>
      <w:r>
        <w:rPr>
          <w:rFonts w:ascii="宋体" w:hAnsi="宋体"/>
          <w:color w:val="auto"/>
          <w:sz w:val="24"/>
          <w:highlight w:val="none"/>
        </w:rPr>
        <w:t xml:space="preserve">：</w:t>
      </w:r>
      <w:r>
        <w:rPr>
          <w:rFonts w:hint="eastAsia" w:ascii="宋体" w:hAnsi="宋体"/>
          <w:color w:val="auto"/>
          <w:sz w:val="24"/>
          <w:highlight w:val="none"/>
        </w:rPr>
        <w:t xml:space="preserve">提供驻场运维服务、LED数据展示，配备维护登高设备。</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7、指挥中心吊顶翻新及光源调整：指挥大厅整体顶面、灯光面光源在大屏安装前需拆装翻新，及大屏安装后地面修补，需在中标后出具吊顶翻新及灯光调整方案，由采购单位确认后施工。</w:t>
      </w:r>
      <w:bookmarkStart w:id="13" w:name="OLE_LINK89"/>
      <w:r/>
      <w:bookmarkEnd w:id="13"/>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8、过渡搬迁：</w:t>
      </w:r>
      <w:bookmarkStart w:id="14" w:name="OLE_LINK10"/>
      <w:r>
        <w:rPr>
          <w:rFonts w:hint="eastAsia" w:ascii="宋体" w:hAnsi="宋体"/>
          <w:color w:val="auto"/>
          <w:sz w:val="24"/>
          <w:highlight w:val="none"/>
        </w:rPr>
        <w:t xml:space="preserve">为不影响指挥中心的业务功能，在施工期间需对大厅内18个工位临时过渡搬迁，包括大厅内的电脑主机、显示器、</w:t>
      </w:r>
      <w:bookmarkStart w:id="15" w:name="OLE_LINK85"/>
      <w:r>
        <w:rPr>
          <w:rFonts w:hint="eastAsia" w:ascii="宋体" w:hAnsi="宋体"/>
          <w:color w:val="auto"/>
          <w:sz w:val="24"/>
          <w:highlight w:val="none"/>
        </w:rPr>
        <w:t xml:space="preserve">电台</w:t>
      </w:r>
      <w:bookmarkEnd w:id="15"/>
      <w:r>
        <w:rPr>
          <w:rFonts w:hint="eastAsia" w:ascii="宋体" w:hAnsi="宋体"/>
          <w:color w:val="auto"/>
          <w:sz w:val="24"/>
          <w:highlight w:val="none"/>
        </w:rPr>
        <w:t xml:space="preserve">、点调系统、会议系统等；安装两套面积不小于2400x1350mm的LED屏，用于过渡期间</w:t>
      </w:r>
      <w:r>
        <w:rPr>
          <w:rFonts w:hint="eastAsia" w:ascii="宋体" w:hAnsi="宋体"/>
          <w:color w:val="auto"/>
          <w:sz w:val="24"/>
          <w:highlight w:val="none"/>
          <w:lang w:eastAsia="zh-CN"/>
        </w:rPr>
        <w:t xml:space="preserve">指挥调度和</w:t>
      </w:r>
      <w:r>
        <w:rPr>
          <w:rFonts w:hint="eastAsia" w:ascii="宋体" w:hAnsi="宋体"/>
          <w:color w:val="auto"/>
          <w:sz w:val="24"/>
          <w:highlight w:val="none"/>
        </w:rPr>
        <w:t xml:space="preserve">日常办公使用。</w:t>
      </w:r>
      <w:bookmarkEnd w:id="14"/>
      <w:r/>
      <w:r/>
    </w:p>
    <w:p>
      <w:pPr>
        <w:ind w:firstLine="482"/>
        <w:spacing w:line="400" w:lineRule="exact"/>
        <w:rPr>
          <w:rFonts w:hint="eastAsia" w:ascii="宋体" w:hAnsi="宋体"/>
          <w:color w:val="auto"/>
          <w:sz w:val="24"/>
          <w:highlight w:val="none"/>
        </w:rPr>
      </w:pPr>
      <w:r>
        <w:rPr>
          <w:rFonts w:hint="eastAsia" w:ascii="宋体" w:hAnsi="宋体"/>
          <w:b/>
          <w:bCs/>
          <w:color w:val="auto"/>
          <w:sz w:val="24"/>
          <w:highlight w:val="none"/>
        </w:rPr>
        <w:t xml:space="preserve">投标人所投产品必须能够与江阴市公安局下列系统和平台对接，且不另外增加任何对接及开发费用，投标时需提供无缝对接承诺书（格式自拟）</w:t>
      </w:r>
      <w:r>
        <w:rPr>
          <w:rFonts w:hint="eastAsia" w:ascii="宋体" w:hAnsi="宋体"/>
          <w:color w:val="auto"/>
          <w:sz w:val="24"/>
          <w:highlight w:val="none"/>
        </w:rPr>
        <w:t xml:space="preserve">：</w:t>
      </w:r>
      <w:r/>
    </w:p>
    <w:tbl>
      <w:tblPr>
        <w:tblStyle w:val="890"/>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2268"/>
        <w:gridCol w:w="3481"/>
      </w:tblGrid>
      <w:tr>
        <w:trPr>
          <w:jc w:val="center"/>
        </w:trPr>
        <w:tc>
          <w:tcPr>
            <w:tcW w:w="704"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843"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系统名称</w:t>
            </w:r>
            <w:r/>
          </w:p>
        </w:tc>
        <w:tc>
          <w:tcPr>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产品名称</w:t>
            </w:r>
            <w:r/>
          </w:p>
        </w:tc>
        <w:tc>
          <w:tcPr>
            <w:tcW w:w="3481"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对接要求</w:t>
            </w:r>
            <w:r/>
          </w:p>
        </w:tc>
      </w:tr>
      <w:tr>
        <w:trPr>
          <w:jc w:val="center"/>
        </w:trPr>
        <w:tc>
          <w:tcPr>
            <w:shd w:val="clear" w:color="auto" w:fill="auto"/>
            <w:tcW w:w="704" w:type="dxa"/>
            <w:vAlign w:val="center"/>
            <w:textDirection w:val="lrTb"/>
            <w:noWrap w:val="false"/>
          </w:tcPr>
          <w:p>
            <w:pPr>
              <w:jc w:val="center"/>
              <w:spacing w:line="40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w:t>
            </w:r>
            <w:r/>
          </w:p>
        </w:tc>
        <w:tc>
          <w:tcPr>
            <w:shd w:val="clear" w:color="auto" w:fill="auto"/>
            <w:tcW w:w="1843"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LED大屏系统　</w:t>
            </w:r>
            <w:r/>
          </w:p>
        </w:tc>
        <w:tc>
          <w:tcPr>
            <w:shd w:val="clear" w:color="auto" w:fill="auto"/>
            <w:tcW w:w="2268" w:type="dxa"/>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szCs w:val="24"/>
                <w:highlight w:val="none"/>
              </w:rPr>
              <w:t xml:space="preserve">大屏操控终端服务</w:t>
            </w:r>
            <w:r/>
          </w:p>
        </w:tc>
        <w:tc>
          <w:tcPr>
            <w:shd w:val="clear" w:color="auto" w:fill="auto"/>
            <w:tcW w:w="348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无缝对接江阴公安各类视频业务平台系统且满足公安网络安全管理要求</w:t>
            </w:r>
            <w:r/>
          </w:p>
        </w:tc>
      </w:tr>
      <w:tr>
        <w:trPr>
          <w:jc w:val="center"/>
        </w:trPr>
        <w:tc>
          <w:tcPr>
            <w:shd w:val="clear" w:color="auto" w:fill="auto"/>
            <w:tcW w:w="704" w:type="dxa"/>
            <w:vAlign w:val="center"/>
            <w:vMerge w:val="restart"/>
            <w:textDirection w:val="lrTb"/>
            <w:noWrap w:val="false"/>
          </w:tcPr>
          <w:p>
            <w:pPr>
              <w:jc w:val="center"/>
              <w:spacing w:line="400" w:lineRule="exact"/>
              <w:rPr>
                <w:rFonts w:hint="default" w:ascii="宋体" w:hAnsi="宋体" w:eastAsia="宋体" w:cstheme="minorBidi"/>
                <w:color w:val="auto"/>
                <w:sz w:val="24"/>
                <w:szCs w:val="22"/>
                <w:highlight w:val="none"/>
                <w:lang w:val="en-US" w:eastAsia="zh-CN" w:bidi="ar-SA"/>
              </w:rPr>
            </w:pPr>
            <w:r>
              <w:rPr>
                <w:rFonts w:hint="eastAsia" w:ascii="宋体" w:hAnsi="宋体" w:eastAsia="宋体" w:cstheme="minorBidi"/>
                <w:color w:val="auto"/>
                <w:sz w:val="24"/>
                <w:szCs w:val="22"/>
                <w:highlight w:val="none"/>
                <w:lang w:val="en-US" w:eastAsia="zh-CN" w:bidi="ar-SA"/>
              </w:rPr>
              <w:t xml:space="preserve">2</w:t>
            </w:r>
            <w:r/>
          </w:p>
        </w:tc>
        <w:tc>
          <w:tcPr>
            <w:shd w:val="clear" w:color="auto" w:fill="auto"/>
            <w:tcW w:w="1843" w:type="dxa"/>
            <w:vAlign w:val="center"/>
            <w:vMerge w:val="restart"/>
            <w:textDirection w:val="lrTb"/>
            <w:noWrap w:val="false"/>
          </w:tcPr>
          <w:p>
            <w:pPr>
              <w:jc w:val="center"/>
              <w:spacing w:line="400" w:lineRule="exact"/>
              <w:rPr>
                <w:rFonts w:hint="eastAsia" w:ascii="宋体" w:hAnsi="宋体" w:eastAsiaTheme="minorEastAsia" w:cstheme="minorBidi"/>
                <w:color w:val="auto"/>
                <w:sz w:val="24"/>
                <w:szCs w:val="22"/>
                <w:highlight w:val="none"/>
                <w:lang w:val="en-US" w:eastAsia="zh-CN" w:bidi="ar-SA"/>
              </w:rPr>
            </w:pPr>
            <w:r>
              <w:rPr>
                <w:rFonts w:hint="eastAsia" w:ascii="宋体" w:hAnsi="宋体"/>
                <w:color w:val="auto"/>
                <w:sz w:val="24"/>
                <w:highlight w:val="none"/>
              </w:rPr>
              <w:t xml:space="preserve">显示控制系统</w:t>
            </w:r>
            <w:r/>
          </w:p>
        </w:tc>
        <w:tc>
          <w:tcPr>
            <w:shd w:val="clear" w:color="auto" w:fill="auto"/>
            <w:tcW w:w="2268" w:type="dxa"/>
            <w:vAlign w:val="center"/>
            <w:textDirection w:val="lrTb"/>
            <w:noWrap w:val="false"/>
          </w:tcPr>
          <w:p>
            <w:pPr>
              <w:jc w:val="center"/>
              <w:spacing w:line="400" w:lineRule="exact"/>
              <w:rPr>
                <w:rFonts w:hint="eastAsia" w:ascii="宋体" w:hAnsi="宋体" w:eastAsiaTheme="minorEastAsia" w:cstheme="minorBidi"/>
                <w:color w:val="auto"/>
                <w:sz w:val="24"/>
                <w:szCs w:val="22"/>
                <w:highlight w:val="none"/>
                <w:lang w:val="en-US" w:eastAsia="zh-CN" w:bidi="ar-SA"/>
              </w:rPr>
            </w:pPr>
            <w:r>
              <w:rPr>
                <w:rFonts w:hint="eastAsia" w:ascii="宋体" w:hAnsi="宋体"/>
                <w:color w:val="auto"/>
                <w:sz w:val="24"/>
                <w:highlight w:val="none"/>
              </w:rPr>
              <w:t xml:space="preserve">LED大屏显示控制系统</w:t>
            </w:r>
            <w:r/>
          </w:p>
        </w:tc>
        <w:tc>
          <w:tcPr>
            <w:shd w:val="clear" w:color="auto" w:fill="auto"/>
            <w:tcW w:w="3481"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系统必须无缝对接且流畅运行市局情报指挥、视频、会议、基层大屏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市局一键点调系统</w:t>
            </w:r>
            <w:r/>
          </w:p>
          <w:p>
            <w:pPr>
              <w:jc w:val="center"/>
              <w:spacing w:line="400" w:lineRule="exact"/>
              <w:rPr>
                <w:rFonts w:hint="eastAsia" w:ascii="宋体" w:hAnsi="宋体" w:eastAsiaTheme="minorEastAsia" w:cstheme="minorBidi"/>
                <w:color w:val="auto"/>
                <w:sz w:val="24"/>
                <w:szCs w:val="22"/>
                <w:highlight w:val="none"/>
                <w:lang w:val="en-US" w:eastAsia="zh-CN" w:bidi="ar-SA"/>
              </w:rPr>
            </w:pPr>
            <w:r>
              <w:rPr>
                <w:rFonts w:hint="eastAsia" w:ascii="宋体" w:hAnsi="宋体" w:cs="宋体"/>
                <w:color w:val="auto"/>
                <w:sz w:val="24"/>
                <w:szCs w:val="24"/>
                <w:highlight w:val="none"/>
              </w:rPr>
              <w:t xml:space="preserve">高清网络硬盘录像机</w:t>
            </w:r>
            <w:r/>
          </w:p>
        </w:tc>
      </w:tr>
      <w:tr>
        <w:trPr>
          <w:jc w:val="center"/>
        </w:trPr>
        <w:tc>
          <w:tcPr>
            <w:shd w:val="clear" w:color="auto" w:fill="auto"/>
            <w:tcW w:w="704" w:type="dxa"/>
            <w:vAlign w:val="center"/>
            <w:vMerge w:val="continue"/>
            <w:textDirection w:val="lrTb"/>
            <w:noWrap w:val="false"/>
          </w:tcPr>
          <w:p>
            <w:pPr>
              <w:jc w:val="center"/>
              <w:spacing w:line="40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tc>
        <w:tc>
          <w:tcPr>
            <w:shd w:val="clear" w:color="auto" w:fill="auto"/>
            <w:tcW w:w="1843" w:type="dxa"/>
            <w:vAlign w:val="center"/>
            <w:vMerge w:val="continue"/>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r>
            <w:r/>
          </w:p>
        </w:tc>
        <w:tc>
          <w:tcPr>
            <w:shd w:val="clear" w:color="auto" w:fill="auto"/>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s="宋体"/>
                <w:color w:val="auto"/>
                <w:sz w:val="24"/>
                <w:szCs w:val="24"/>
                <w:highlight w:val="none"/>
              </w:rPr>
              <w:t xml:space="preserve">高清网络硬盘录像机</w:t>
            </w:r>
            <w:r/>
          </w:p>
        </w:tc>
        <w:tc>
          <w:tcPr>
            <w:shd w:val="clear" w:color="auto" w:fill="auto"/>
            <w:tcW w:w="348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无缝接入市局视频平台，存储不少于1个月视频</w:t>
            </w:r>
            <w:r/>
          </w:p>
        </w:tc>
      </w:tr>
      <w:tr>
        <w:trPr>
          <w:jc w:val="center"/>
        </w:trPr>
        <w:tc>
          <w:tcPr>
            <w:tcW w:w="704" w:type="dxa"/>
            <w:vAlign w:val="center"/>
            <w:vMerge w:val="restart"/>
            <w:textDirection w:val="lrTb"/>
            <w:noWrap w:val="false"/>
          </w:tcPr>
          <w:p>
            <w:pPr>
              <w:jc w:val="center"/>
              <w:spacing w:line="40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3</w:t>
            </w:r>
            <w:r/>
          </w:p>
        </w:tc>
        <w:tc>
          <w:tcPr>
            <w:tcW w:w="1843" w:type="dxa"/>
            <w:vAlign w:val="center"/>
            <w:vMerge w:val="restart"/>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视频会议设备</w:t>
            </w:r>
            <w:r/>
          </w:p>
        </w:tc>
        <w:tc>
          <w:tcPr>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高清视频会议终端</w:t>
            </w:r>
            <w:r/>
          </w:p>
        </w:tc>
        <w:tc>
          <w:tcPr>
            <w:tcW w:w="3481"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无缝对接市局一键点调系统</w:t>
            </w:r>
            <w:r/>
          </w:p>
        </w:tc>
      </w:tr>
      <w:tr>
        <w:trPr>
          <w:jc w:val="center"/>
        </w:trPr>
        <w:tc>
          <w:tcPr>
            <w:tcW w:w="704" w:type="dxa"/>
            <w:vAlign w:val="center"/>
            <w:vMerge w:val="continue"/>
            <w:textDirection w:val="lrTb"/>
            <w:noWrap w:val="false"/>
          </w:tcPr>
          <w:p>
            <w:pPr>
              <w:jc w:val="center"/>
              <w:spacing w:line="400" w:lineRule="exact"/>
              <w:rPr>
                <w:rFonts w:hint="eastAsia" w:ascii="宋体" w:hAnsi="宋体" w:eastAsiaTheme="minorEastAsia"/>
                <w:color w:val="auto"/>
                <w:sz w:val="24"/>
                <w:highlight w:val="none"/>
                <w:lang w:val="en-US" w:eastAsia="zh-CN"/>
              </w:rPr>
            </w:pPr>
            <w:r>
              <w:rPr>
                <w:rFonts w:hint="eastAsia" w:ascii="宋体" w:hAnsi="宋体" w:eastAsiaTheme="minorEastAsia"/>
                <w:color w:val="auto"/>
                <w:sz w:val="24"/>
                <w:highlight w:val="none"/>
                <w:lang w:val="en-US" w:eastAsia="zh-CN"/>
              </w:rPr>
            </w:r>
            <w:r/>
          </w:p>
        </w:tc>
        <w:tc>
          <w:tcPr>
            <w:tcW w:w="1843" w:type="dxa"/>
            <w:vAlign w:val="center"/>
            <w:vMerge w:val="continue"/>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会控保障配件升级</w:t>
            </w:r>
            <w:r/>
          </w:p>
        </w:tc>
        <w:tc>
          <w:tcPr>
            <w:tcW w:w="3481"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会控保障配件升级组装后，必须无缝对接且流畅运行市局所有视频会议系统</w:t>
            </w:r>
            <w:r/>
          </w:p>
        </w:tc>
      </w:tr>
      <w:tr>
        <w:trPr>
          <w:jc w:val="center"/>
        </w:trPr>
        <w:tc>
          <w:tcPr>
            <w:tcW w:w="704" w:type="dxa"/>
            <w:vAlign w:val="center"/>
            <w:vMerge w:val="continue"/>
            <w:textDirection w:val="lrTb"/>
            <w:noWrap w:val="false"/>
          </w:tcPr>
          <w:p>
            <w:pPr>
              <w:jc w:val="center"/>
              <w:spacing w:line="400" w:lineRule="exact"/>
              <w:rPr>
                <w:rFonts w:hint="eastAsia" w:ascii="宋体" w:hAnsi="宋体" w:eastAsiaTheme="minorEastAsia"/>
                <w:color w:val="auto"/>
                <w:sz w:val="24"/>
                <w:highlight w:val="none"/>
                <w:lang w:val="en-US" w:eastAsia="zh-CN"/>
              </w:rPr>
            </w:pPr>
            <w:r>
              <w:rPr>
                <w:rFonts w:hint="eastAsia" w:ascii="宋体" w:hAnsi="宋体" w:eastAsiaTheme="minorEastAsia"/>
                <w:color w:val="auto"/>
                <w:sz w:val="24"/>
                <w:highlight w:val="none"/>
                <w:lang w:val="en-US" w:eastAsia="zh-CN"/>
              </w:rPr>
            </w:r>
            <w:r/>
          </w:p>
        </w:tc>
        <w:tc>
          <w:tcPr>
            <w:tcW w:w="1843" w:type="dxa"/>
            <w:vAlign w:val="center"/>
            <w:vMerge w:val="continue"/>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会议音频系统主机</w:t>
            </w:r>
            <w:r/>
          </w:p>
        </w:tc>
        <w:tc>
          <w:tcPr>
            <w:tcW w:w="3481"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设备</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与第二会议室现用桌面会议话筒及会议摄像机发言跟踪功能实现无缝对接</w:t>
            </w:r>
            <w:r/>
          </w:p>
        </w:tc>
      </w:tr>
      <w:tr>
        <w:trPr>
          <w:jc w:val="center"/>
        </w:trPr>
        <w:tc>
          <w:tcPr>
            <w:tcW w:w="704" w:type="dxa"/>
            <w:vAlign w:val="center"/>
            <w:textDirection w:val="lrTb"/>
            <w:noWrap w:val="false"/>
          </w:tcPr>
          <w:p>
            <w:pPr>
              <w:jc w:val="center"/>
              <w:spacing w:line="40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4</w:t>
            </w:r>
            <w:r/>
          </w:p>
        </w:tc>
        <w:tc>
          <w:tcPr>
            <w:tcW w:w="1843"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终端设备</w:t>
            </w:r>
            <w:r/>
          </w:p>
        </w:tc>
        <w:tc>
          <w:tcPr>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情指图控工作站配件升级</w:t>
            </w:r>
            <w:r/>
          </w:p>
        </w:tc>
        <w:tc>
          <w:tcPr>
            <w:tcW w:w="3481"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情指图控配件升级后必须无缝对接且流畅运行市局情报指挥、视频应用关系统；</w:t>
            </w:r>
            <w:r/>
          </w:p>
        </w:tc>
      </w:tr>
      <w:tr>
        <w:trPr>
          <w:jc w:val="center"/>
        </w:trPr>
        <w:tc>
          <w:tcPr>
            <w:tcW w:w="704" w:type="dxa"/>
            <w:vAlign w:val="center"/>
            <w:textDirection w:val="lrTb"/>
            <w:noWrap w:val="false"/>
          </w:tcPr>
          <w:p>
            <w:pPr>
              <w:jc w:val="center"/>
              <w:spacing w:line="40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1843"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s="宋体"/>
                <w:b w:val="0"/>
                <w:bCs w:val="0"/>
                <w:color w:val="auto"/>
                <w:sz w:val="24"/>
                <w:szCs w:val="24"/>
                <w:highlight w:val="none"/>
              </w:rPr>
              <w:t xml:space="preserve">综合布线及网络</w:t>
            </w:r>
            <w:r/>
          </w:p>
        </w:tc>
        <w:tc>
          <w:tcPr>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s="宋体"/>
                <w:color w:val="auto"/>
                <w:sz w:val="24"/>
                <w:szCs w:val="24"/>
                <w:highlight w:val="none"/>
              </w:rPr>
              <w:t xml:space="preserve">人脸自助核验门禁</w:t>
            </w:r>
            <w:r/>
          </w:p>
        </w:tc>
        <w:tc>
          <w:tcPr>
            <w:tcW w:w="3481" w:type="dxa"/>
            <w:vAlign w:val="center"/>
            <w:textDirection w:val="lrTb"/>
            <w:noWrap w:val="false"/>
          </w:tcPr>
          <w:p>
            <w:pPr>
              <w:jc w:val="center"/>
              <w:spacing w:line="400" w:lineRule="exact"/>
              <w:rPr>
                <w:rFonts w:hint="eastAsia" w:ascii="宋体" w:hAnsi="宋体" w:eastAsiaTheme="minorEastAsia"/>
                <w:color w:val="auto"/>
                <w:sz w:val="24"/>
                <w:highlight w:val="none"/>
                <w:lang w:eastAsia="zh-CN"/>
              </w:rPr>
            </w:pPr>
            <w:r>
              <w:rPr>
                <w:rFonts w:hint="eastAsia" w:ascii="宋体" w:hAnsi="宋体" w:cs="宋体"/>
                <w:color w:val="auto"/>
                <w:sz w:val="24"/>
                <w:szCs w:val="24"/>
                <w:highlight w:val="none"/>
              </w:rPr>
              <w:t xml:space="preserve">须支持与江阴市公安局人脸门禁平台无缝对接</w:t>
            </w:r>
            <w:r/>
          </w:p>
        </w:tc>
      </w:tr>
      <w:tr>
        <w:trPr>
          <w:jc w:val="center"/>
        </w:trPr>
        <w:tc>
          <w:tcPr>
            <w:tcW w:w="704" w:type="dxa"/>
            <w:vAlign w:val="center"/>
            <w:vMerge w:val="restart"/>
            <w:textDirection w:val="lrTb"/>
            <w:noWrap w:val="false"/>
          </w:tcPr>
          <w:p>
            <w:pPr>
              <w:jc w:val="center"/>
              <w:spacing w:line="40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6</w:t>
            </w:r>
            <w:r/>
          </w:p>
        </w:tc>
        <w:tc>
          <w:tcPr>
            <w:tcW w:w="1843" w:type="dxa"/>
            <w:vAlign w:val="center"/>
            <w:vMerge w:val="restart"/>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数据及运维服务</w:t>
            </w:r>
            <w:r/>
          </w:p>
        </w:tc>
        <w:tc>
          <w:tcPr>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s="宋体"/>
                <w:color w:val="auto"/>
                <w:sz w:val="24"/>
                <w:szCs w:val="24"/>
                <w:highlight w:val="none"/>
              </w:rPr>
              <w:t xml:space="preserve">会议视频调阅终端服务</w:t>
            </w:r>
            <w:r/>
          </w:p>
        </w:tc>
        <w:tc>
          <w:tcPr>
            <w:tcW w:w="3481"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s="宋体"/>
                <w:color w:val="auto"/>
                <w:sz w:val="24"/>
                <w:szCs w:val="24"/>
                <w:highlight w:val="none"/>
              </w:rPr>
              <w:t xml:space="preserve">无缝对</w:t>
            </w:r>
            <w:r>
              <w:rPr>
                <w:rFonts w:hint="eastAsia" w:ascii="宋体" w:hAnsi="宋体" w:eastAsia="宋体" w:cs="宋体"/>
                <w:color w:val="auto"/>
                <w:sz w:val="24"/>
                <w:szCs w:val="24"/>
                <w:highlight w:val="none"/>
              </w:rPr>
              <w:t xml:space="preserve">接江阴公安各类视频业务平台系统且满足公安网络安全管理要求</w:t>
            </w:r>
            <w:r/>
          </w:p>
        </w:tc>
      </w:tr>
      <w:tr>
        <w:trPr>
          <w:jc w:val="center"/>
        </w:trPr>
        <w:tc>
          <w:tcPr>
            <w:tcW w:w="704" w:type="dxa"/>
            <w:vAlign w:val="center"/>
            <w:vMerge w:val="continue"/>
            <w:textDirection w:val="lrTb"/>
            <w:noWrap w:val="false"/>
          </w:tcPr>
          <w:p>
            <w:pPr>
              <w:jc w:val="center"/>
              <w:spacing w:line="400" w:lineRule="exact"/>
              <w:rPr>
                <w:rFonts w:hint="default" w:ascii="宋体" w:hAnsi="宋体" w:eastAsiaTheme="minorEastAsia"/>
                <w:color w:val="auto"/>
                <w:sz w:val="24"/>
                <w:highlight w:val="none"/>
                <w:lang w:val="en-US" w:eastAsia="zh-CN"/>
              </w:rPr>
            </w:pPr>
            <w:r>
              <w:rPr>
                <w:rFonts w:hint="default" w:ascii="宋体" w:hAnsi="宋体" w:eastAsiaTheme="minorEastAsia"/>
                <w:color w:val="auto"/>
                <w:sz w:val="24"/>
                <w:highlight w:val="none"/>
                <w:lang w:val="en-US" w:eastAsia="zh-CN"/>
              </w:rPr>
            </w:r>
            <w:r/>
          </w:p>
        </w:tc>
        <w:tc>
          <w:tcPr>
            <w:tcW w:w="1843" w:type="dxa"/>
            <w:vAlign w:val="center"/>
            <w:vMerge w:val="continue"/>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2268"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LED数据展示</w:t>
            </w:r>
            <w:r/>
          </w:p>
        </w:tc>
        <w:tc>
          <w:tcPr>
            <w:tcW w:w="3481" w:type="dxa"/>
            <w:vAlign w:val="center"/>
            <w:textDirection w:val="lrTb"/>
            <w:noWrap w:val="false"/>
          </w:tcPr>
          <w:p>
            <w:pPr>
              <w:jc w:val="cente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无缝对接市局现有系统</w:t>
            </w:r>
            <w:r/>
          </w:p>
        </w:tc>
      </w:tr>
    </w:tbl>
    <w:p>
      <w:pPr>
        <w:spacing w:line="400" w:lineRule="exact"/>
        <w:rPr>
          <w:rFonts w:hint="eastAsia" w:ascii="黑体" w:hAnsi="黑体" w:eastAsia="黑体"/>
          <w:color w:val="auto"/>
          <w:sz w:val="28"/>
          <w:szCs w:val="28"/>
          <w:highlight w:val="none"/>
          <w:lang w:eastAsia="zh-CN"/>
        </w:rPr>
        <w:outlineLvl w:val="9"/>
      </w:pPr>
      <w:r>
        <w:rPr>
          <w:rFonts w:hint="eastAsia" w:ascii="黑体" w:hAnsi="黑体" w:eastAsia="黑体"/>
          <w:color w:val="auto"/>
          <w:sz w:val="28"/>
          <w:szCs w:val="28"/>
          <w:highlight w:val="none"/>
          <w:lang w:eastAsia="zh-CN"/>
        </w:rPr>
      </w:r>
      <w:r/>
    </w:p>
    <w:p>
      <w:pPr>
        <w:spacing w:line="400" w:lineRule="exact"/>
        <w:rPr>
          <w:rFonts w:hint="eastAsia" w:ascii="黑体" w:hAnsi="黑体" w:eastAsia="黑体"/>
          <w:bCs/>
          <w:sz w:val="28"/>
          <w:szCs w:val="28"/>
          <w:highlight w:val="none"/>
          <w:lang w:eastAsia="zh-CN"/>
        </w:rPr>
        <w:outlineLvl w:val="1"/>
      </w:pPr>
      <w:r>
        <w:rPr>
          <w:rFonts w:hint="eastAsia" w:ascii="黑体" w:hAnsi="黑体" w:eastAsia="黑体"/>
          <w:bCs/>
          <w:sz w:val="28"/>
          <w:szCs w:val="28"/>
          <w:highlight w:val="none"/>
        </w:rPr>
        <w:t xml:space="preserve">三、项目实施原则</w:t>
      </w:r>
      <w:r>
        <w:rPr>
          <w:rFonts w:hint="eastAsia" w:ascii="黑体" w:hAnsi="黑体" w:eastAsia="黑体"/>
          <w:bCs/>
          <w:sz w:val="28"/>
          <w:szCs w:val="28"/>
          <w:highlight w:val="none"/>
          <w:lang w:eastAsia="zh-CN"/>
        </w:rPr>
        <w:t xml:space="preserve">：</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1.可靠性原则</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系统应主要以国内外业界较先进和成熟的主流技术为基础，首先确保系统的可靠性及实用性。从系统的结构、技术措施、设备性能、系统管理、厂商技术支持及维修能力等多方面着手，确保系统能正常、稳定、可靠地连续运行，将系统发生故障的可能性降到最低。</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2.先进性原则</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系统应充分考虑科学技术的迅速发展趋势，采用业界较为高端的先进技术来保证系统先进性。对各功能采用模块化设计，保证系统可以方便灵活地在处理能力、系统容量、功能点等方面进行扩充和升级换代，从而确保系统在未来一段时间内满足形势和业务发展的需要。</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3.安全性原则</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（1）网络安全：视频专网与公安网必须逻辑隔离。若要建立连接必须采取符合公安部要求的技术手段。</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（2）信息安全：必须严格设置用户使用权限及审批方式。各级用户只能调看本权限范围内的信息。</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（3）设备安全：设备选型应选先进成熟的市场主流产品，要求安全可靠，保证系统不间断运行。对关键的设备、数据和接口应采用冗余设计，并具有故障检测、系统恢复等功能。</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4.开放性和可扩展性</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具备符合国家标准的第三方业务接口，与第三方业务系统的对接不应影响现网业务。</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5.经济性</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工程系统的设计要充分利用现有资源，既要有趋前意识，又要适应现实需要，更要杜绝浪费。本着切合实际、实用高效的原则，在系统设计和设备配置上达到最大限度的优化组合，最佳的性能价格比。</w:t>
      </w:r>
      <w:r/>
    </w:p>
    <w:p>
      <w:pPr>
        <w:pStyle w:val="873"/>
        <w:spacing w:after="0" w:line="400" w:lineRule="exact"/>
        <w:rPr>
          <w:highlight w:val="none"/>
        </w:rPr>
      </w:pPr>
      <w:r>
        <w:rPr>
          <w:highlight w:val="none"/>
        </w:rPr>
      </w:r>
      <w:r/>
    </w:p>
    <w:p>
      <w:pPr>
        <w:spacing w:line="400" w:lineRule="exact"/>
        <w:rPr>
          <w:rFonts w:ascii="黑体" w:hAnsi="黑体" w:eastAsia="黑体"/>
          <w:bCs/>
          <w:sz w:val="28"/>
          <w:szCs w:val="28"/>
          <w:highlight w:val="none"/>
        </w:rPr>
        <w:outlineLvl w:val="1"/>
      </w:pPr>
      <w:r>
        <w:rPr>
          <w:rFonts w:hint="eastAsia" w:ascii="黑体" w:hAnsi="黑体" w:eastAsia="黑体"/>
          <w:bCs/>
          <w:sz w:val="28"/>
          <w:szCs w:val="28"/>
          <w:highlight w:val="none"/>
        </w:rPr>
        <w:t xml:space="preserve">四、供应商的责任：</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1.维保期</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本项目的</w:t>
      </w:r>
      <w:r>
        <w:rPr>
          <w:rFonts w:hint="eastAsia" w:ascii="宋体" w:hAnsi="宋体"/>
          <w:color w:val="auto"/>
          <w:sz w:val="24"/>
          <w:highlight w:val="none"/>
          <w:lang w:eastAsia="zh-CN"/>
        </w:rPr>
        <w:t xml:space="preserve">基础</w:t>
      </w:r>
      <w:r>
        <w:rPr>
          <w:rFonts w:hint="eastAsia" w:ascii="宋体" w:hAnsi="宋体"/>
          <w:color w:val="auto"/>
          <w:sz w:val="24"/>
          <w:highlight w:val="none"/>
        </w:rPr>
        <w:t xml:space="preserve">维保期为五年，投标人的报价应包括项目五年基础维保期</w:t>
      </w:r>
      <w:r>
        <w:rPr>
          <w:rFonts w:hint="eastAsia" w:ascii="宋体" w:hAnsi="宋体"/>
          <w:color w:val="auto"/>
          <w:sz w:val="24"/>
          <w:highlight w:val="none"/>
          <w:lang w:eastAsia="zh-CN"/>
        </w:rPr>
        <w:t xml:space="preserve">及</w:t>
      </w:r>
      <w:r>
        <w:rPr>
          <w:rFonts w:hint="eastAsia" w:ascii="宋体" w:hAnsi="宋体"/>
          <w:color w:val="auto"/>
          <w:sz w:val="24"/>
          <w:highlight w:val="none"/>
        </w:rPr>
        <w:t xml:space="preserve">投标人</w:t>
      </w:r>
      <w:r>
        <w:rPr>
          <w:rFonts w:hint="eastAsia" w:ascii="宋体" w:hAnsi="宋体"/>
          <w:color w:val="auto"/>
          <w:sz w:val="24"/>
          <w:highlight w:val="none"/>
          <w:lang w:eastAsia="zh-CN"/>
        </w:rPr>
        <w:t xml:space="preserve">承诺延期免费维保期间，</w:t>
      </w:r>
      <w:r>
        <w:rPr>
          <w:rFonts w:hint="eastAsia" w:ascii="宋体" w:hAnsi="宋体"/>
          <w:color w:val="auto"/>
          <w:sz w:val="24"/>
          <w:highlight w:val="none"/>
        </w:rPr>
        <w:t xml:space="preserve">软硬件系统质保所产生的所有费用。</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2.完整性</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在本项目五年基础维保期</w:t>
      </w:r>
      <w:r>
        <w:rPr>
          <w:rFonts w:hint="eastAsia" w:ascii="宋体" w:hAnsi="宋体"/>
          <w:color w:val="auto"/>
          <w:sz w:val="24"/>
          <w:highlight w:val="none"/>
          <w:lang w:eastAsia="zh-CN"/>
        </w:rPr>
        <w:t xml:space="preserve">及</w:t>
      </w:r>
      <w:r>
        <w:rPr>
          <w:rFonts w:hint="eastAsia" w:ascii="宋体" w:hAnsi="宋体"/>
          <w:color w:val="auto"/>
          <w:sz w:val="24"/>
          <w:highlight w:val="none"/>
        </w:rPr>
        <w:t xml:space="preserve">投标人</w:t>
      </w:r>
      <w:r>
        <w:rPr>
          <w:rFonts w:hint="eastAsia" w:ascii="宋体" w:hAnsi="宋体"/>
          <w:color w:val="auto"/>
          <w:sz w:val="24"/>
          <w:highlight w:val="none"/>
          <w:lang w:eastAsia="zh-CN"/>
        </w:rPr>
        <w:t xml:space="preserve">承诺延期免费维保期间</w:t>
      </w:r>
      <w:r>
        <w:rPr>
          <w:rFonts w:hint="eastAsia" w:ascii="宋体" w:hAnsi="宋体"/>
          <w:color w:val="auto"/>
          <w:sz w:val="24"/>
          <w:highlight w:val="none"/>
        </w:rPr>
        <w:t xml:space="preserve">，投标人须本着提供完整的、满足功能和性能要求的、满足系统可靠运行的原则进行投标设计和报价决策，以保证系统的完整性，投标人认为其它任何必要的设备、材料、连接附件、软件接入费用等都应计入投标总价。</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3.工程界面</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投标人需完成本工程范围内的设备及相关设备的安装调试及五年基础维保期</w:t>
      </w:r>
      <w:r>
        <w:rPr>
          <w:rFonts w:hint="eastAsia" w:ascii="宋体" w:hAnsi="宋体"/>
          <w:color w:val="auto"/>
          <w:sz w:val="24"/>
          <w:highlight w:val="none"/>
          <w:lang w:eastAsia="zh-CN"/>
        </w:rPr>
        <w:t xml:space="preserve">及</w:t>
      </w:r>
      <w:r>
        <w:rPr>
          <w:rFonts w:hint="eastAsia" w:ascii="宋体" w:hAnsi="宋体"/>
          <w:color w:val="auto"/>
          <w:sz w:val="24"/>
          <w:highlight w:val="none"/>
        </w:rPr>
        <w:t xml:space="preserve">投标人</w:t>
      </w:r>
      <w:r>
        <w:rPr>
          <w:rFonts w:hint="eastAsia" w:ascii="宋体" w:hAnsi="宋体"/>
          <w:color w:val="auto"/>
          <w:sz w:val="24"/>
          <w:highlight w:val="none"/>
          <w:lang w:eastAsia="zh-CN"/>
        </w:rPr>
        <w:t xml:space="preserve">承诺延期免费维保期间</w:t>
      </w:r>
      <w:r>
        <w:rPr>
          <w:rFonts w:hint="eastAsia" w:ascii="宋体" w:hAnsi="宋体"/>
          <w:color w:val="auto"/>
          <w:sz w:val="24"/>
          <w:highlight w:val="none"/>
        </w:rPr>
        <w:t xml:space="preserve">运维保障。</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4.责任范围</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投标人应负责本项目的设计、制造、试验、安装、传输、调试、试运行、验交、运维等全部工作。</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服从招标人对此次工程实施、技术设计管理协调。</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投标人应负责提供本系统的配置信息，在招标人的指导下建立本工程范围内的运维服务体系。</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投标人应需保证本工程各类设施设备的稳定性、可靠性,工程建设完成后，以上设备性能由招标人进行验证确认后方能验收。</w:t>
      </w:r>
      <w:r/>
    </w:p>
    <w:p>
      <w:pPr>
        <w:spacing w:line="400" w:lineRule="exact"/>
        <w:rPr>
          <w:rFonts w:ascii="黑体" w:hAnsi="黑体" w:eastAsia="黑体"/>
          <w:bCs/>
          <w:sz w:val="28"/>
          <w:szCs w:val="28"/>
          <w:highlight w:val="none"/>
        </w:rPr>
      </w:pPr>
      <w:r>
        <w:rPr>
          <w:rFonts w:ascii="黑体" w:hAnsi="黑体" w:eastAsia="黑体"/>
          <w:bCs/>
          <w:sz w:val="28"/>
          <w:szCs w:val="28"/>
          <w:highlight w:val="none"/>
        </w:rPr>
      </w:r>
      <w:r/>
    </w:p>
    <w:p>
      <w:pPr>
        <w:spacing w:line="400" w:lineRule="exact"/>
        <w:rPr>
          <w:rFonts w:ascii="黑体" w:hAnsi="黑体" w:eastAsia="黑体"/>
          <w:bCs/>
          <w:sz w:val="28"/>
          <w:szCs w:val="28"/>
          <w:highlight w:val="none"/>
        </w:rPr>
        <w:outlineLvl w:val="1"/>
      </w:pPr>
      <w:r>
        <w:rPr>
          <w:rFonts w:hint="eastAsia" w:ascii="黑体" w:hAnsi="黑体" w:eastAsia="黑体"/>
          <w:bCs/>
          <w:sz w:val="28"/>
          <w:szCs w:val="28"/>
          <w:highlight w:val="none"/>
        </w:rPr>
        <w:t xml:space="preserve">五、</w:t>
      </w:r>
      <w:r>
        <w:rPr>
          <w:rFonts w:ascii="黑体" w:hAnsi="黑体" w:eastAsia="黑体"/>
          <w:sz w:val="28"/>
          <w:szCs w:val="28"/>
          <w:highlight w:val="none"/>
        </w:rPr>
        <w:t xml:space="preserve">项目需遵循的有关标准和规范</w:t>
      </w:r>
      <w:r>
        <w:rPr>
          <w:rFonts w:hint="eastAsia" w:ascii="黑体" w:hAnsi="黑体" w:eastAsia="黑体"/>
          <w:sz w:val="28"/>
          <w:szCs w:val="28"/>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本次项目遵循下述文件、国家及行业有关标准规范等隐性要求（如有矛盾，以最新的文件为准）。包括但不限于以下标准：</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50314-2015《智能建筑设计标准》</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50606-2010《智能建筑工程施工规范》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50339-2013《智能建筑工程质量验收规范》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JCJ/T 454-2019《智能建筑工程质量检测标准》</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55024-2022《建筑电气与智能化通用规范》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51348-2019《民用建筑电气设计规范》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50054-2011《低压配电设计规范》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50303-2015《建筑电气工程施工质量验收规范》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50168-2018《电气装置安装工程 电缆线路施工及验收标准》</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50169-2016《电气装置安装工程 接地装置施工及验收规范》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50343-2012《建筑物电子信息系统防雷技术规范》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50057-2010《建筑物防雷设计规范》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50016-2014（2018年版）《建筑设计防火规范》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50116-2013《火灾自动报警系统设计规范》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50311-2016《综合布线系统工程设计规范》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GB/T 50312-2016《综合布线系统工程验收规范》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50348-2018《安全防范工程技术规范》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GB/T 28181-2022《公共安全视频监控联网系统信息传输、交换、控制技术要求》</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GB/T 25724-2017《公共安全视频监控数字视音频编解码技术要求</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50174-2017《数据中心设计规范》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50462-2015《数据中心基础设施施工及验收规范》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GB/T 50525-2010《视频显示系统工程测量技术规范》 </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50464-2008《视频显示系统工程技术规范》 </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SJ/T 11141-2017《发光二极管（LED）显示屏通用规范》 </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SJ/T 11281-2017《发光二极管(LED)显示屏测试方法》</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50371-2006《厅堂扩声系统设计规范》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50799-2012《电子会议系统工程设计规范》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50635-2010《会议电视会场系统工程设计规范》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ITU-T H.323《基于IP包交换网络中多媒体业务的框架协议》</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GB/T 50378-2019《绿色建筑评价标准》</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50189-2015《公共建筑节能设计标准》</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JGJ/T 67-2019《办公建筑设计标准》</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55016-2021《建筑环境通用规范》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50210-2018《建筑装饰装修工程质量验收规范》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 50222-2017《建筑内部装修设计防火规范》</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GB/T 28448-2019《信息安全技术网络安全等级保护测评要求》</w:t>
      </w:r>
      <w:r/>
    </w:p>
    <w:p>
      <w:pPr>
        <w:pStyle w:val="913"/>
        <w:numPr>
          <w:ilvl w:val="0"/>
          <w:numId w:val="2"/>
        </w:numPr>
        <w:contextualSpacing/>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GB/T 22239-2019《信息安全技术﹣网络安全等级保护基本要求》</w:t>
      </w:r>
      <w:r/>
    </w:p>
    <w:p>
      <w:pPr>
        <w:pStyle w:val="913"/>
        <w:numPr>
          <w:ilvl w:val="0"/>
          <w:numId w:val="2"/>
        </w:numPr>
        <w:contextualSpacing/>
        <w:spacing w:line="400" w:lineRule="exact"/>
        <w:rPr>
          <w:rFonts w:ascii="宋体" w:hAnsi="宋体" w:eastAsia="宋体" w:cs="Arial"/>
          <w:sz w:val="24"/>
          <w:szCs w:val="24"/>
          <w:highlight w:val="none"/>
        </w:rPr>
      </w:pPr>
      <w:r>
        <w:rPr>
          <w:rFonts w:ascii="宋体" w:hAnsi="宋体"/>
          <w:color w:val="auto"/>
          <w:sz w:val="24"/>
          <w:szCs w:val="24"/>
          <w:highlight w:val="none"/>
        </w:rPr>
        <w:t xml:space="preserve">工程测量、勘察及物探资料等。</w:t>
      </w:r>
      <w:r/>
    </w:p>
    <w:p>
      <w:pPr>
        <w:spacing w:line="400" w:lineRule="exact"/>
        <w:rPr>
          <w:rFonts w:ascii="黑体" w:hAnsi="黑体" w:eastAsia="黑体"/>
          <w:bCs/>
          <w:sz w:val="28"/>
          <w:szCs w:val="28"/>
          <w:highlight w:val="none"/>
        </w:rPr>
      </w:pPr>
      <w:r>
        <w:rPr>
          <w:rFonts w:ascii="黑体" w:hAnsi="黑体" w:eastAsia="黑体"/>
          <w:bCs/>
          <w:sz w:val="28"/>
          <w:szCs w:val="28"/>
          <w:highlight w:val="none"/>
        </w:rPr>
      </w:r>
      <w:r/>
    </w:p>
    <w:p>
      <w:pPr>
        <w:numPr>
          <w:ilvl w:val="0"/>
          <w:numId w:val="3"/>
        </w:numPr>
        <w:spacing w:line="400" w:lineRule="exact"/>
        <w:rPr>
          <w:rFonts w:hint="eastAsia" w:ascii="黑体" w:hAnsi="黑体" w:eastAsia="黑体"/>
          <w:sz w:val="28"/>
          <w:szCs w:val="28"/>
          <w:highlight w:val="none"/>
        </w:rPr>
        <w:outlineLvl w:val="1"/>
      </w:pPr>
      <w:r>
        <w:rPr>
          <w:rFonts w:hint="eastAsia" w:ascii="黑体" w:hAnsi="黑体" w:eastAsia="黑体"/>
          <w:bCs/>
          <w:sz w:val="28"/>
          <w:szCs w:val="28"/>
          <w:highlight w:val="none"/>
        </w:rPr>
        <w:t xml:space="preserve">采购</w:t>
      </w:r>
      <w:r>
        <w:rPr>
          <w:rFonts w:hint="eastAsia" w:ascii="黑体" w:hAnsi="黑体" w:eastAsia="黑体"/>
          <w:bCs/>
          <w:sz w:val="28"/>
          <w:szCs w:val="28"/>
          <w:highlight w:val="none"/>
          <w:lang w:val="en-US" w:eastAsia="zh-CN"/>
        </w:rPr>
        <w:t xml:space="preserve">清单及</w:t>
      </w:r>
      <w:r>
        <w:rPr>
          <w:rFonts w:hint="eastAsia" w:ascii="黑体" w:hAnsi="黑体" w:eastAsia="黑体"/>
          <w:bCs/>
          <w:sz w:val="28"/>
          <w:szCs w:val="28"/>
          <w:highlight w:val="none"/>
        </w:rPr>
        <w:t xml:space="preserve">要求：</w:t>
      </w:r>
      <w:r>
        <w:rPr>
          <w:rFonts w:hint="eastAsia" w:ascii="黑体" w:hAnsi="黑体" w:eastAsia="黑体"/>
          <w:sz w:val="28"/>
          <w:szCs w:val="28"/>
          <w:highlight w:val="none"/>
        </w:rPr>
        <w:t xml:space="preserve"> </w:t>
      </w:r>
      <w:r/>
    </w:p>
    <w:p>
      <w:pPr>
        <w:spacing w:line="400" w:lineRule="exact"/>
        <w:rPr>
          <w:rFonts w:hint="eastAsia" w:ascii="黑体" w:hAnsi="黑体" w:eastAsia="黑体"/>
          <w:b/>
          <w:bCs/>
          <w:sz w:val="24"/>
          <w:szCs w:val="24"/>
          <w:highlight w:val="none"/>
        </w:rPr>
        <w:outlineLvl w:val="1"/>
      </w:pPr>
      <w:r>
        <w:rPr>
          <w:rFonts w:hint="eastAsia" w:asciiTheme="majorEastAsia" w:hAnsiTheme="majorEastAsia" w:eastAsiaTheme="majorEastAsia" w:cstheme="majorEastAsia"/>
          <w:b/>
          <w:bCs/>
          <w:sz w:val="24"/>
          <w:szCs w:val="24"/>
          <w:highlight w:val="none"/>
        </w:rPr>
        <w:t xml:space="preserve">6.1采购清单：</w:t>
      </w:r>
      <w:r/>
    </w:p>
    <w:tbl>
      <w:tblPr>
        <w:tblStyle w:val="867"/>
        <w:tblW w:w="9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9"/>
        <w:gridCol w:w="1272"/>
        <w:gridCol w:w="5813"/>
        <w:gridCol w:w="1216"/>
        <w:gridCol w:w="618"/>
      </w:tblGrid>
      <w:tr>
        <w:trPr>
          <w:trHeight w:val="240"/>
        </w:trPr>
        <w:tc>
          <w:tcPr>
            <w:tcW w:w="47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272"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设备名称</w:t>
            </w:r>
            <w:r/>
          </w:p>
        </w:tc>
        <w:tc>
          <w:tcPr>
            <w:tcW w:w="5813" w:type="dxa"/>
            <w:vAlign w:val="center"/>
            <w:textDirection w:val="lrTb"/>
            <w:noWrap w:val="false"/>
          </w:tcPr>
          <w:p>
            <w:pPr>
              <w:jc w:val="center"/>
              <w:widowControl/>
              <w:rPr>
                <w:rFonts w:hint="eastAsia" w:ascii="宋体" w:hAnsi="宋体" w:cs="宋体"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技术</w:t>
            </w:r>
            <w:r>
              <w:rPr>
                <w:rFonts w:hint="eastAsia" w:ascii="宋体" w:hAnsi="宋体" w:cs="宋体"/>
                <w:b/>
                <w:bCs/>
                <w:color w:val="auto"/>
                <w:sz w:val="24"/>
                <w:szCs w:val="24"/>
                <w:highlight w:val="none"/>
              </w:rPr>
              <w:t xml:space="preserve">参数</w:t>
            </w:r>
            <w:r>
              <w:rPr>
                <w:rFonts w:hint="eastAsia" w:ascii="宋体" w:hAnsi="宋体" w:cs="宋体"/>
                <w:b/>
                <w:bCs/>
                <w:color w:val="auto"/>
                <w:sz w:val="24"/>
                <w:szCs w:val="24"/>
                <w:highlight w:val="none"/>
                <w:lang w:val="en-US" w:eastAsia="zh-CN"/>
              </w:rPr>
              <w:t xml:space="preserve">要求</w:t>
            </w:r>
            <w:r/>
          </w:p>
        </w:tc>
        <w:tc>
          <w:tcPr>
            <w:tcW w:w="121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618"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r>
      <w:tr>
        <w:trPr>
          <w:trHeight w:val="240"/>
        </w:trPr>
        <w:tc>
          <w:tcPr>
            <w:tcW w:w="47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w:t>
            </w:r>
            <w:r/>
          </w:p>
        </w:tc>
        <w:tc>
          <w:tcPr>
            <w:gridSpan w:val="2"/>
            <w:tcW w:w="7085"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LED大屏系统</w:t>
            </w:r>
            <w:r>
              <w:rPr>
                <w:rFonts w:hint="eastAsia" w:ascii="宋体" w:hAnsi="宋体" w:cs="宋体"/>
                <w:color w:val="auto"/>
                <w:sz w:val="24"/>
                <w:szCs w:val="24"/>
                <w:highlight w:val="none"/>
              </w:rPr>
              <w:t xml:space="preserve">　</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40"/>
        </w:trPr>
        <w:tc>
          <w:tcPr>
            <w:tcW w:w="47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p>
        </w:tc>
        <w:tc>
          <w:tcPr>
            <w:tcW w:w="1272"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主屏</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128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P1.25小间距LED屏</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bookmarkStart w:id="16" w:name="OLE_LINK72"/>
            <w:r/>
            <w:bookmarkStart w:id="17" w:name="OLE_LINK73"/>
            <w:r>
              <w:rPr>
                <w:rFonts w:hint="eastAsia" w:ascii="宋体" w:hAnsi="宋体" w:cs="宋体"/>
                <w:color w:val="auto"/>
                <w:sz w:val="24"/>
                <w:szCs w:val="24"/>
                <w:highlight w:val="none"/>
              </w:rPr>
              <w:t xml:space="preserve">屏体</w:t>
            </w:r>
            <w:r>
              <w:rPr>
                <w:rFonts w:hint="eastAsia" w:ascii="宋体" w:hAnsi="宋体" w:cs="宋体"/>
                <w:b w:val="0"/>
                <w:bCs w:val="0"/>
                <w:color w:val="auto"/>
                <w:sz w:val="24"/>
                <w:szCs w:val="24"/>
                <w:highlight w:val="none"/>
              </w:rPr>
              <w:t xml:space="preserve">详见“主要设备详细技术参数要求”</w:t>
            </w:r>
            <w:r>
              <w:rPr>
                <w:rFonts w:hint="eastAsia" w:ascii="宋体" w:hAnsi="宋体" w:cs="宋体"/>
                <w:color w:val="auto"/>
                <w:sz w:val="24"/>
                <w:szCs w:val="24"/>
                <w:highlight w:val="none"/>
              </w:rPr>
              <w:t xml:space="preserve">，其中8.75㎡为备品备件。</w:t>
            </w:r>
            <w:bookmarkEnd w:id="16"/>
            <w:r/>
            <w:r/>
          </w:p>
          <w:p>
            <w:pPr>
              <w:keepLines w:val="0"/>
              <w:keepNext w:val="0"/>
              <w:pageBreakBefore w:val="0"/>
              <w:spacing w:line="360" w:lineRule="exact"/>
              <w:widowControl w:val="off"/>
              <w:rPr>
                <w:rFonts w:hint="eastAsia" w:ascii="宋体" w:hAnsi="宋体" w:cs="宋体"/>
                <w:color w:val="auto"/>
                <w:sz w:val="24"/>
                <w:szCs w:val="24"/>
                <w:highlight w:val="none"/>
              </w:rPr>
            </w:pPr>
            <w:r/>
            <w:bookmarkStart w:id="18" w:name="OLE_LINK29"/>
            <w:r>
              <w:rPr>
                <w:rFonts w:hint="eastAsia" w:ascii="宋体" w:hAnsi="宋体" w:cs="宋体"/>
                <w:color w:val="auto"/>
                <w:sz w:val="24"/>
                <w:szCs w:val="24"/>
                <w:highlight w:val="none"/>
              </w:rPr>
              <w:t xml:space="preserve">接收卡</w:t>
            </w:r>
            <w:bookmarkEnd w:id="17"/>
            <w:r/>
            <w:bookmarkEnd w:id="18"/>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详见“主要设备详细技术参数要求”</w:t>
            </w:r>
            <w:r>
              <w:rPr>
                <w:rFonts w:hint="eastAsia" w:ascii="宋体" w:hAnsi="宋体" w:cs="宋体"/>
                <w:color w:val="auto"/>
                <w:sz w:val="24"/>
                <w:szCs w:val="24"/>
                <w:highlight w:val="none"/>
                <w:lang w:eastAsia="zh-CN"/>
              </w:rPr>
              <w:t xml:space="preserve">，可包含在屏体内。</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olor w:val="auto"/>
                <w:sz w:val="24"/>
                <w:szCs w:val="24"/>
                <w:highlight w:val="none"/>
              </w:rPr>
              <w:t xml:space="preserve">96.23</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平方</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发送卡</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 单台设备最大带载为4096*2160@ 60Hz，可自定义分辨率；</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 支持发送卡模式和光电转换模式互相切换；</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3. 支持3D功能，配合3D发射器和3D眼镜，实现3D显示效果；</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4. 支持HDMI2.0、DP1.2、4路DVI接口输入;支持3.5mm音频接口，支持立体声输入；支持20路千兆网口输出和4路10G光纤输出，2主2备，3</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5mm音频接口；</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5. 支持视频源位深 8bit\10bit\12bit；</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6. 支持新一代逐点亮色度校正技术，校正过程快速高效；</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7. 支持中控对接，可平板控制实现一键3D\2D画面；</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8. 支持超大分辨率输入，通过电脑显卡设置超大分辨率输出；</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9. 支持液晶配屏，无需电脑，随时配屏。</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shd w:val="clear" w:color="auto" w:fill="auto"/>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配电柜</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配套配电柜，PLC远程控制，主线缆三相五线制，70平方，与辅屏共用配电柜</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shd w:val="clear" w:color="auto" w:fill="auto"/>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LED屏钢结构</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定制框架：包含小间距LED拼接屏配套框架、基座等；</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另配备约8.7㎡备品LED配套安装框架及配件。</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87.48</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平方</w:t>
            </w:r>
            <w:r/>
          </w:p>
        </w:tc>
      </w:tr>
      <w:tr>
        <w:trPr>
          <w:trHeight w:val="240"/>
        </w:trPr>
        <w:tc>
          <w:tcPr>
            <w:shd w:val="clear" w:color="auto" w:fill="auto"/>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5</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辅材</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LED屏定制辅材，含输入主电缆及分配电缆；屏体内信号连接线、高清线等</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9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72"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辅屏</w:t>
            </w:r>
            <w:r/>
          </w:p>
        </w:tc>
        <w:tc>
          <w:tcPr>
            <w:tcW w:w="5813"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P1.25小间距LED屏</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bookmarkStart w:id="19" w:name="OLE_LINK93"/>
            <w:r>
              <w:rPr>
                <w:rFonts w:hint="eastAsia" w:ascii="宋体" w:hAnsi="宋体" w:cs="宋体"/>
                <w:color w:val="auto"/>
                <w:sz w:val="24"/>
                <w:szCs w:val="24"/>
                <w:highlight w:val="none"/>
              </w:rPr>
              <w:t xml:space="preserve">屏体</w:t>
            </w:r>
            <w:r>
              <w:rPr>
                <w:rFonts w:hint="eastAsia" w:ascii="宋体" w:hAnsi="宋体" w:cs="宋体"/>
                <w:b w:val="0"/>
                <w:bCs w:val="0"/>
                <w:color w:val="auto"/>
                <w:sz w:val="24"/>
                <w:szCs w:val="24"/>
                <w:highlight w:val="none"/>
              </w:rPr>
              <w:t xml:space="preserve">详见“主要设备详细技术参数要求”</w:t>
            </w:r>
            <w:r>
              <w:rPr>
                <w:rFonts w:hint="eastAsia" w:ascii="宋体" w:hAnsi="宋体" w:cs="宋体"/>
                <w:color w:val="auto"/>
                <w:sz w:val="24"/>
                <w:szCs w:val="24"/>
                <w:highlight w:val="none"/>
              </w:rPr>
              <w:t xml:space="preserve">，其中2.92㎡为备品备件。</w:t>
            </w:r>
            <w:bookmarkEnd w:id="19"/>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接收卡</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详见“主要设备详细技术参数要求”</w:t>
            </w:r>
            <w:r>
              <w:rPr>
                <w:rFonts w:hint="eastAsia" w:ascii="宋体" w:hAnsi="宋体" w:cs="宋体"/>
                <w:color w:val="auto"/>
                <w:sz w:val="24"/>
                <w:szCs w:val="24"/>
                <w:highlight w:val="none"/>
                <w:lang w:eastAsia="zh-CN"/>
              </w:rPr>
              <w:t xml:space="preserve">，可包含在屏体内。</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olor w:val="auto"/>
                <w:sz w:val="24"/>
                <w:szCs w:val="24"/>
                <w:highlight w:val="none"/>
              </w:rPr>
              <w:t xml:space="preserve">32.08</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平方</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发送卡</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 单台设备最大带载为4096*2160@ 60Hz，可自定义分辨率；</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 支持发送卡模式和光电转换模式互相切换；</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3. 支持3D功能，配合3D发射器和3D眼镜，实现3D显示效果；</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4. 支持HDMI2.0、DP1.2、4路DVI接口输入;支持3.5mm音频接口，支持立体声输入；支持20路千兆网口输出和4路10G光纤输出，2主2备，3,5mm音频接口；</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5. 支持视频源位深 8bit\10bit\12bit；</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6. 支持新一代逐点亮色度校正技术，校正过程快速高效；</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7. 支持中控对接，可平板控制实现一键3D\2D画面；</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8. 支持超大分辨率输入，通过电脑显卡设置超大分辨率输出；</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9. 支持液晶配屏，无需电脑，随时配屏。</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LED屏钢结构</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定制框架：包含小间距LED拼接屏配套框架、基座等；</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另配备约2.9㎡备品LED配套安装框架及配件。</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29.16</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平方</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辅材</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LED屏定制辅材，含输入主电缆及分配电缆；屏体内信号连接线、高清线等</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大屏操控终端服务</w:t>
            </w:r>
            <w:r/>
          </w:p>
        </w:tc>
        <w:tc>
          <w:tcPr>
            <w:shd w:val="clear" w:color="auto" w:fill="auto"/>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大屏操控终端服务</w:t>
            </w:r>
            <w:r>
              <w:rPr>
                <w:rFonts w:hint="eastAsia" w:ascii="宋体" w:hAnsi="宋体" w:cs="宋体"/>
                <w:color w:val="auto"/>
                <w:sz w:val="24"/>
                <w:szCs w:val="24"/>
                <w:highlight w:val="none"/>
              </w:rPr>
              <w:tab/>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1.支持不少于16路1080P H.264以上视频流同时在线调阅播放；</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2.供应商需提供相关软硬件及对接组件配件</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因涉警务数据，</w:t>
            </w:r>
            <w:r>
              <w:rPr>
                <w:rFonts w:hint="eastAsia" w:ascii="宋体" w:hAnsi="宋体" w:cs="宋体"/>
                <w:b/>
                <w:bCs/>
                <w:color w:val="auto"/>
                <w:sz w:val="24"/>
                <w:szCs w:val="24"/>
                <w:highlight w:val="none"/>
              </w:rPr>
              <w:t xml:space="preserve">配件损坏以及质保期满之后不返还</w:t>
            </w:r>
            <w:r>
              <w:rPr>
                <w:rFonts w:hint="eastAsia" w:ascii="宋体" w:hAnsi="宋体" w:cs="宋体"/>
                <w:color w:val="auto"/>
                <w:sz w:val="24"/>
                <w:szCs w:val="24"/>
                <w:highlight w:val="none"/>
              </w:rPr>
              <w:t xml:space="preserve">），所供设备性能配置不应低于：CPU24核心32线程/32G DDR5内存/5070 8G独显/1T固态/16英寸2.5K/165HZ。</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3.自带WAN接口，可拆除无线网卡及蓝牙等模块。</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w:t>
            </w:r>
            <w:r/>
          </w:p>
        </w:tc>
        <w:tc>
          <w:tcPr>
            <w:gridSpan w:val="2"/>
            <w:tcW w:w="7085"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显示控制系统　</w:t>
            </w:r>
            <w:r/>
          </w:p>
        </w:tc>
        <w:tc>
          <w:tcPr>
            <w:tcW w:w="121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p>
        </w:tc>
        <w:tc>
          <w:tcPr>
            <w:tcW w:w="618"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p>
        </w:tc>
      </w:tr>
      <w:tr>
        <w:trPr>
          <w:trHeight w:val="9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显控系统主机</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rPr>
              <w:t xml:space="preserve">详见“主要设备详细技术参数要求”</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光纤HDMI发送器</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含单模光模块，支持1xHDMI输入，USB、音频输入、1路视频本地环出，光纤输出</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56</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光纤HDMI接收器</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含单模光模块，支持1xHDMI输入，USB、音频输入，光纤输入</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显控系统管理平台</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用作显控设备联控，一个界面对分布式系统、光纤坐席显控系统、中控系统进行控制。</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支持海量音视频信号接入进行统一管理，能够自动搜索、注册、添加设定网段内的显控系统设备。支持设备列表在线管理，支持一键识别中控列表导入，分布式节点列表导入，拼接器节点导入，坐席节点列表导入，多媒体播控设备管理及导入，多媒体文件服务器管理导入。</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2.信号源管理：支持建立信号源分组，支持信号源收藏，支持信号源状态可视化显示，支持信号源推送大屏以及多屏推送输出。</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3.预案管理：支持预案保存以及一键切换场景，实现复杂系统中视频、音频、环境及周边设备快速变更调节。支持预案保存调用、一切多、显示切换关系、实时模式、非实时模式、触控切换、鼠标切换。</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屏幕拼接管理：具备大屏M*N的任意拼接方式选择，支持虚拟大屏显示、大屏预监回显、可视化预览、开窗、漫游、叠加、拼接、分割、跨屏、整屏、画中画、置顶、置底、窗口锁定操作，相互之间不受影响，多种类型信号无缝切换。</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5.账号漫游及多级域管理：支持账号权限随行，支持多级域权限管理，人员可在不同地域间登录所在域权限完成账号漫游。</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r>
      <w:tr>
        <w:trPr>
          <w:trHeight w:val="48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智能全景球</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rPr>
              <w:t xml:space="preserve">详见“主要设备详细技术参数要求”</w:t>
            </w:r>
            <w:r/>
          </w:p>
        </w:tc>
        <w:tc>
          <w:tcPr>
            <w:tcW w:w="1216"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相机安装辅材</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DC12V电源、电源线、网线、配管、安装支架等，每处视环境再行具体配置</w:t>
            </w:r>
            <w:r/>
          </w:p>
        </w:tc>
        <w:tc>
          <w:tcPr>
            <w:tcW w:w="1216"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高清网络硬盘录像机</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网络硬盘录像机，双网口物理隔离</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主处理器：工业级微控制器；</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操作系统：嵌入式Linux操作系统；</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接入路数：64路；</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分辨率：32MP；24MP；16MP；12MP；8MP；6MP；5MP；4MP；3MP；1080p；720p；960p；D1；CIF；QCIF；</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解码能力：3路32MP@25fps；4路24MP@25fps；6路16MP@25fps；8路12MP@25fps；12路8MP@25fps；16路6MP@25fps；19路5MP@25fps；24路4MP@25fps；48路1080P@25fps；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RAID：RAID0/1/5/6/10；</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报警输入：16路；</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报警输出：9路，其中8路继电器输出，1路12V1A ctrl输出；</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硬盘接口：12个SATA，单盘最大20T；</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RS-485接口：1个；</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网络接口：4个（10M/100M/1000M/2500M以太网口，RJ-45）；</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冗余电源：支持</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硬盘</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监控级</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单盘容量：8TB；</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缓存：256MB；</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转速：5400RPM；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硬盘接口：SATA</w:t>
            </w:r>
            <w:r/>
          </w:p>
        </w:tc>
        <w:tc>
          <w:tcPr>
            <w:tcW w:w="121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LED大屏系统处理器节点配件升级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相关软硬件对接组件、配件以完成LED大屏的画面控制功能，实现包括画面分割、拼接以及信号切换等功能，提供任意开窗、任意漫游、高分地图等功能软硬件。单节点不少于24核心32线程，基础主频≥2.4GHz，二级缓存容量≥32MB，三级缓存容量≥36MB，制程工艺：≤7nm，支持PCIe 5.0总线协议，满足多任务并发及高清视频实时处理需求。</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LED大屏系统主板配件升级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支持“LED大屏系统处理器节点配件” CPU；内存插槽数≥4个支持双通道DDR5，最大可扩展至128GB；PCIe接口符合5.0 16X及以上标准，插槽≥3个，板载千兆网口≥1个；支持SATA、SAS、M.2等存储接口，具备防烧板设计，保障长时间运行安全 。</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19"/>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内存扩容</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≥32GB DDR5（建议2×16GB双通道配置），频率≥5200MHz，满足高负载运算需求。</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LED大屏系统系统存储扩容配件升级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NVMe PCIe 4.0接口固态硬盘（SSD），容量≥512GB， 性能：连续读取速度≥3500MB/s，连续写入速度≥2800MB/s，4K随机读取≥450K IOPS，满足视频素材快速加载与处理需求</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因涉警务数据，</w:t>
            </w:r>
            <w:r>
              <w:rPr>
                <w:rFonts w:hint="eastAsia" w:ascii="宋体" w:hAnsi="宋体" w:cs="宋体"/>
                <w:b/>
                <w:bCs/>
                <w:color w:val="auto"/>
                <w:sz w:val="24"/>
                <w:szCs w:val="24"/>
                <w:highlight w:val="none"/>
              </w:rPr>
              <w:t xml:space="preserve">配件损坏以及质保期满之后不返还)</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shd w:val="clear" w:color="auto" w:fill="auto"/>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13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LED大屏系统数据存储扩容配件升级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采用SSD固态硬盘：数据盘不小于1T M.2接口(NVMe协议)</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因涉警务数据，</w:t>
            </w:r>
            <w:r>
              <w:rPr>
                <w:rFonts w:hint="eastAsia" w:ascii="宋体" w:hAnsi="宋体" w:cs="宋体"/>
                <w:b/>
                <w:bCs/>
                <w:color w:val="auto"/>
                <w:sz w:val="24"/>
                <w:szCs w:val="24"/>
                <w:highlight w:val="none"/>
              </w:rPr>
              <w:t xml:space="preserve">配件损坏以及质保期满之后不返还)</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shd w:val="clear" w:color="auto" w:fill="auto"/>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14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LED大屏系统显示适配器配件升级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显卡显存容量不低于12GB，采用GDDR6及以上高速显存，显存位宽≥256bit，核心性能：CUDA核心数≥8960（或同等性能架构核心），≥2路HDMI/DP输出，兼容HDMI 2.0、DP 1.4等主流视频输出协议，支持DirectX 12 Ultimate、OpenGL 4.6，支持硬件级视频编码（H.265/AV1）与解码，满足4K/8K视频处理及多屏投屏输出需求。</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shd w:val="clear" w:color="auto" w:fill="auto"/>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15</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LED大屏系统机箱/电源配件升级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前置4个USB3.0口与音频输出；ATX标准电源功率不低于1000W，全模组化接线，CPU 12V供电接口≥2个。</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r>
      <w:tr>
        <w:trPr>
          <w:trHeight w:val="240"/>
        </w:trPr>
        <w:tc>
          <w:tcPr>
            <w:shd w:val="clear" w:color="auto" w:fill="auto"/>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16</w:t>
            </w:r>
            <w:r/>
          </w:p>
        </w:tc>
        <w:tc>
          <w:tcPr>
            <w:tcW w:w="127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编码器</w:t>
            </w:r>
            <w:r/>
          </w:p>
        </w:tc>
        <w:tc>
          <w:tcPr>
            <w:tcW w:w="5813" w:type="dxa"/>
            <w:vAlign w:val="center"/>
            <w:textDirection w:val="lrTb"/>
            <w:noWrap w:val="false"/>
          </w:tcPr>
          <w:p>
            <w:pPr>
              <w:jc w:val="left"/>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高清视频推送城运中心。</w:t>
            </w:r>
            <w:r/>
          </w:p>
          <w:p>
            <w:pPr>
              <w:jc w:val="lef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4K单路HDMI高清编码器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1.1路HDMI高清多媒体接口或1路VGA接口视频输入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2.1路HDMI硬件环通输出，支持断电环通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3.HDMI支持最大 4K（3840×2160/30Hz）信号源输入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4.支持4K、400W、1080P、720P等高清分辨率编码；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5.支持自动识别输入源分辨率并按照源分辨率进行自适应编码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6.支持H.265、H.264视频编码，主、子码流可独立配置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7.支持画面位置调整和画面区域裁剪功能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8.音频输入源可选HDMI或Audio in，音频编码格式支持：AAC_LC、G711a、G711u</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9.视频输入源自动识别</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10.支持GB28181协议接入平台</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r>
      <w:tr>
        <w:trPr>
          <w:trHeight w:val="240"/>
        </w:trPr>
        <w:tc>
          <w:tcPr>
            <w:tcW w:w="479"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127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解码器</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9路高清视频解码器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输入路数：3路HDMI；视频输入分辨率：所有接口支持：3840*2160（4K）@60Hz、3840*2160（4K）@30Hz、1920*1200（WUXGA）@60Hz、1920*1080（1080P）@60Hz、1920*1080（1080P）@50Hz、1920*1080（1080P）@30Hz、1600*1200（UXGA）@60Hz、1440*900（WXGA+）@60Hz、1280*1024（SXGA）@60Hz、1280*720（720P）</w:t>
            </w:r>
            <w:r>
              <w:rPr>
                <w:rFonts w:hint="eastAsia" w:ascii="宋体" w:hAnsi="宋体" w:eastAsia="宋体" w:cs="宋体"/>
                <w:color w:val="auto"/>
                <w:sz w:val="24"/>
                <w:szCs w:val="24"/>
                <w:highlight w:val="none"/>
              </w:rPr>
              <w:t xml:space="preserve">@60Hz、1280*720（720P）@50Hz、1024*768（XGA）@60Hz；输出路数：9路HDMI；视频输出分辨率：所有接口支持：3840*2160（4K）@60Hz、3840*2160（4K）@30Hz、1920*1200（WUXGA）@60Hz、1920*1080（1080P）@60Hz、1600*1200（UXGA）@60Hz、1440*900（WXGA+）@60Hz、1280*1024（SXGA）@60Hz、1280*720（720P）@60Hz、1024*768（XGA）@60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解码格式：H.265、H.264、MPEG4；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解码能力：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H.265:3*8K@60/9*8K@30/36*12MP@20/36*4K@30/144*1080P@30/288*720P@30/576*D1@30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H.264:3*8K@60/6*8K@30/30*12MP@20/30*4K@30/120*1080P@30/240*720P@30/576*D1@30；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拼接功能：M*N（总数不超过最大输出口个数）；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多组电视墙：单机可建立管理4个配置不同的电视墙；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场景管理：可保存64个场景；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音频输入：1路3.5mm音频输入；音频输出：1路3.5mm音频输出，左右双声道；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串口：2个（1个RJ45 RS232，另一个RJ45 RS232 Console和RS485合用）；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网络接口：2个GE网口，RJ45接口，半双工/全双工以太网，支持10M/100M/1000M Base-T自适应；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USB接口：2个USB3.0接口；</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p>
        </w:tc>
        <w:tc>
          <w:tcPr>
            <w:gridSpan w:val="2"/>
            <w:tcW w:w="7085"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视频会议设备　</w:t>
            </w:r>
            <w:r/>
          </w:p>
        </w:tc>
        <w:tc>
          <w:tcPr>
            <w:tcW w:w="121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p>
        </w:tc>
        <w:tc>
          <w:tcPr>
            <w:tcW w:w="618"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高清视频会议终端</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高清视频会议终端(8M,超高性能1080p,2个10/100/1000M，DVI/HDMI/SDI输入/输出,19英寸1U)</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120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会控保障处理器节点配件升级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相关软硬件对接组件、配件以完成视频会议与一键点调的会控功能。实现包括会议类型模板、主会场与分会场的预案以及上级点调应答等保障功能。单节点不少于16核心24线程，配置散热风扇，最大睿频不低于5.2GHz，二级缓存不小于24MB智能缓存，可高效处理4K及以上规格视频素材的剪辑、调色与渲染工作，保障多任务处理时的流畅性。</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会控保障主板配件升级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适配处理器节点配件，板载声卡、千兆有线网口，支持DDR4*4接口，M.2接口(NVMe协议)数量不小于2个。</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会控保障内存扩容配件升级</w:t>
            </w:r>
            <w:r/>
          </w:p>
        </w:tc>
        <w:tc>
          <w:tcPr>
            <w:tcW w:w="5813" w:type="dxa"/>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不低于32G，DDR4以上内存</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会控保障系统存储扩容配件升级</w:t>
            </w:r>
            <w:r/>
          </w:p>
        </w:tc>
        <w:tc>
          <w:tcPr>
            <w:tcW w:w="5813" w:type="dxa"/>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采用SSD固态硬盘：系统盘不小于250G M.2接口(NVMe协议)</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因涉警务数据，</w:t>
            </w:r>
            <w:r>
              <w:rPr>
                <w:rFonts w:hint="eastAsia" w:ascii="宋体" w:hAnsi="宋体" w:cs="宋体"/>
                <w:b/>
                <w:bCs/>
                <w:color w:val="auto"/>
                <w:sz w:val="24"/>
                <w:szCs w:val="24"/>
                <w:highlight w:val="none"/>
              </w:rPr>
              <w:t xml:space="preserve">配件损坏以及质保期满之后不返还)</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会控保障数据存储扩容配件升级</w:t>
            </w:r>
            <w:r/>
          </w:p>
        </w:tc>
        <w:tc>
          <w:tcPr>
            <w:tcW w:w="5813" w:type="dxa"/>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采用SSD固态硬盘：数据盘不小于1T M.2接口(NVMe协议)</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因涉警务数据，</w:t>
            </w:r>
            <w:r>
              <w:rPr>
                <w:rFonts w:hint="eastAsia" w:ascii="宋体" w:hAnsi="宋体" w:cs="宋体"/>
                <w:b/>
                <w:bCs/>
                <w:color w:val="auto"/>
                <w:sz w:val="24"/>
                <w:szCs w:val="24"/>
                <w:highlight w:val="none"/>
              </w:rPr>
              <w:t xml:space="preserve">配件损坏以及质保期满之后不返还)</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会控保障显示适配器配件升级</w:t>
            </w:r>
            <w:r/>
          </w:p>
        </w:tc>
        <w:tc>
          <w:tcPr>
            <w:tcW w:w="5813" w:type="dxa"/>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独立显卡CUDA核心≥3840个，显存GDDR7，容量不低于8G，显存位宽≥128bit，显存带宽≥448GB/s， HDMI/DP输出≥2路；接口类型PCIE 5.0 16X。</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会控保障机箱/电源配件升级</w:t>
            </w:r>
            <w:r/>
          </w:p>
        </w:tc>
        <w:tc>
          <w:tcPr>
            <w:tcW w:w="5813" w:type="dxa"/>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前置4个USB3.0口与音频输出，</w:t>
            </w:r>
            <w:r>
              <w:rPr>
                <w:rFonts w:hint="eastAsia"/>
                <w:color w:val="auto"/>
                <w:sz w:val="24"/>
                <w:szCs w:val="24"/>
                <w:highlight w:val="none"/>
              </w:rPr>
              <w:t xml:space="preserve"> </w:t>
            </w:r>
            <w:r>
              <w:rPr>
                <w:rFonts w:hint="eastAsia" w:ascii="宋体" w:hAnsi="宋体" w:cs="宋体"/>
                <w:color w:val="auto"/>
                <w:sz w:val="24"/>
                <w:szCs w:val="24"/>
                <w:highlight w:val="none"/>
              </w:rPr>
              <w:t xml:space="preserve">ATX标准电源：功率不低于800W。</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机架式多卡聚合网关</w:t>
            </w:r>
            <w:r/>
          </w:p>
        </w:tc>
        <w:tc>
          <w:tcPr>
            <w:tcW w:w="5813" w:type="dxa"/>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1.内置2个5G模块和5G SIM卡槽，支持5G NSA/SA、4G全网通</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2.内置4个4G模块和4G SIM卡槽，4G全网通（支持移动、联通、电信）</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3.2个可扩展USB接口，支持外置4G/5G全网通无线网卡扩展，支持5G NSA/SA、4G全网通</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4.9路聚合，上传下载速度叠加，最多9个链路自由组合（2路5G+4路4G+1路千兆有线+2路USB），聚合带宽高达280M</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5.内置5英寸触摸屏，可实时监看每一路网络速度和操作设置</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6.内核级底层算法优化，全协议支持</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7.抢网功能，无惧人员、设备密集场所应用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8.数据动态拆分，加密传输，提高私密数据安全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9.传输通道动态侦测，避免拥塞和带宽波动</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机架式视频会议终端</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1、视频会议终端 * 1（不含摄像头、话筒、投屏器）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2、3路视频输入（HDMI*1、POE*2）、1路视频输出（HDMI*1）</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3、支持1080P/30、5.8G Wifi、视频输入、输出最高支持1920x1080p30</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超高清会议像机</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1.支持壁装、三脚架安装或吊顶安装等多种安装方式，可按用户需求进行安装。</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2.图像传感器采用不小于1/1.8"4K2K 图像传感器，支持4K2K（3840×2160）60Hz、4K2K（3840×2160）30Hz、4K2K（3840×2160）25Hz、1080p60、1080p50、1080p30、1080p25、720p60、720p50等高清信号输出。</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3.支持不小于30倍光学变倍。</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4.支持广角镜头，水平视角不小于58°。</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5.支持供电、显示、控制多线合一，只连接一根超五类网线实现供电、图像显示、摄像机控制，支持4K信号传输100米。</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6.支持RS422控制接口，支持标准VISCA和PELCO协议，支持摄像机通过控制口RS422实现菊花链控制，菊花链控制摄像机不小于7个，并联控制不少于64个。</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7.支持中文OSD菜单，可在OSD中对摄像机进行设置。</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8.支持自带显示屏，可方便显示视频输出分辨率。</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9.支持根据安装方向自动翻转图像。</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10.支持ZigBee控制协议，支持360°控制。</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7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HDMI</w:t>
            </w:r>
            <w:r>
              <w:rPr>
                <w:rFonts w:hint="eastAsia" w:ascii="等线" w:hAnsi="等线" w:eastAsia="等线" w:cs="宋体"/>
                <w:color w:val="auto"/>
                <w:sz w:val="24"/>
                <w:szCs w:val="24"/>
                <w:highlight w:val="none"/>
              </w:rPr>
              <w:t xml:space="preserve">视频输入板</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1、支持8路HDMI信号输入；</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2、最大支持1080P@60fps分辨率视频传输;</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3、支持热插拔更换，输入板插回，图像信号自动恢复；</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4、支持分辨率自适应，EDID自动协商；</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5、核心部件（含芯片）具备专用散热模块，具备独立风道；</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6、板卡上下面具备金属托盘固定支撑、防护及散热；</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高清会议摄像机控制键盘</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1.RS232/RS422/RS485/IP网口控制，支持VISCA、PELCO-D、PELCO-P、Visca over IP、ONVIF协议，带屏</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2.通过RS232/RS422和IP进行跨协议混合控制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3.快速访问关键相机功能</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4.变速四维摇杆控制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5.独立宽范围双电源输入。</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会议音频系统主机</w:t>
            </w:r>
            <w:r/>
          </w:p>
        </w:tc>
        <w:tc>
          <w:tcPr>
            <w:tcW w:w="5813"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val="0"/>
                <w:bCs w:val="0"/>
                <w:color w:val="auto"/>
                <w:sz w:val="24"/>
                <w:szCs w:val="24"/>
                <w:highlight w:val="none"/>
              </w:rPr>
              <w:t xml:space="preserve">详见“主要设备详细技术参数要求”。</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数字调音台</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1.具有≥10.1英寸1280x800电容触摸屏、数字编码器以及按键构成的操作面板。</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2.具有≥17个电动推子，电动推子可操控：≥1个LR主声道推子、≥16个通道推子。</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3.支持中英文界面切换，且无需重启。</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4.内置USB录音、放音功能。能够识别USB电子盘内的中英文歌曲名，具备快进、下一曲、快速暂停等功能；且支持播放APE、FLAC、MP3、WAV音频格式。</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5.内置≥16个通道独立的反馈抑制器，内置≥16路自动混音（增益共享型）。</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6.具有≥2个内置效果器，自带有经典混响、大房间混响等效果模块；FX音效可使用专用的返回通道返回到混音且不占用单声道和立体声输入通道。</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7.支持iPad触摸屏全功能控制，实时数据同步；支持≥8个终端同时控制。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8.可通过网络或者USB升级ARM固件、DSP固件。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9.每个输入通道具有≥4段参数均衡、噪声门、高低通、压缩、反相。</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10.每个输出通道具有≥8段参数均衡、高低通、压缩、反相、延时器。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11.模拟输入≥24CH ( MIC/Line)；输出通道支持L/R、10BUS、HeadPhone(L/R)，10BUS混音总线可选择推子前、推子后（PRE/POST）。</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12.支持≥100组场景预设功能，可导出、导入USB存储器，便于数据备份；支持32个PEQ模式存储。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13.内置信号发生器：正弦波、粉红噪声、白噪声。</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14.支持通道参数拷贝功能，相同的通道快速复制数据，通道名称可自定义。</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15.接线方式：平衡式输入、输出卡侬。</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16.支持≥8个推子编组、≥8个用户自定义按键、≥4个快速静音组按键。</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17.具有面板锁定按键，防止误操作。</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主席话筒</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1.电容触摸按键。咪杆高度（或长度）≤240mm。</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2.48K采样率，80Hz-16KHz带宽。</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3.单元采用100M网络传输，网络连接采用网线手拉手。</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4.TCP/IP协议，且每个单元可支持ping包功能。</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5.采用≥4.3英寸全彩触屏。</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6.同声传译支持≥63+1通道，单元具有双通道收听功能，可同时收听不同译员通道。</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7.单元支持 PC 软件话筒控制，支持声控功能。</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8.主席单元具备关闭代表单元发言的优先权限。</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9.每个单元内置独立的web服务器，支持≥四种语言切换、调节话筒ID号、话筒灵敏度、话筒EQ等参数。</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10.单元具有发言计时和定时发言功能，代表机具有申请发言功能。</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11.单元内部具有反馈抑制功能，具有声控功能，声控灵敏度可调。</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12.单元具有≥5 段 EQ 调节功能，可针对发言者的声音特点调节不同的音效。</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13.单元支持签到功能，也可以通过PC软件禁止单元签到、控制单元签到等功能。</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14.单元支持表决功能，有多种表决模式选择，且选项内容可自定义下发到单元显示。</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15.单元支持web页面固件升级功能。</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16.单元支持IP地址嗅探功能，通过PC工具可以查找到未知单元的ID号、IP地址、MAC地址等参数。</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17.单元在PC软件的主机配置页面，可设置是否显示时钟，选择否时，时钟将隐藏。</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电源时序器</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1.配备LCD显示屏，支持显示温度信息，实时输入电压信息、时间信息、IP信息，定时任务信息。</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2.具有≥8路单通道≥10A电源输出插座，总输出电流≥30A，支持实时监控插座功率。</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3.具有≥2个10M/100M网口，≥2路RS-485接口，≥1路USB接口提供照明灯供电；配备≥1个监听扬声器，支持人声报警提示。</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4.支持过载、短路保护功能；支持连接PC可视化界面进行远程操控；支持网络远程固件升级，支持主从机级联，支持通过一路网口接入局域网使用软件控制所有级联设备。</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5.具备对每一路电源输出进行定时编程，支持每路开关时序间隔动作延迟时间调节设置。</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6.支持实时检测设备温度，支持拓展外接温湿度传感器，显示外部环境温湿度。</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7.具备自定义设置电源锁开启后每个通道开启、关闭、保持关闭前状态；支持设置对应通道的上下限位值、对应的超限动作和动作延时，支持调节报警音量大小。</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8.支持电压、电流或温湿度超过限定值播放相应的人声报警，恢复正常时自动停止。</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9.支持通过主设备电源锁可一键开启或关闭所有从设备；支持独立控制每一路电源输出，支持一键全开或全关；支持一键紧急打开或者关闭全部电源。</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10.支持PC界面控制、定时控制、手动控制、串口控制方式。</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监听音箱</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1.内置高保真高档扬声器，内置电子分频器，额定输出功率≥2×100W，输出阻抗≤4Ω。</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2.支持≥1路话筒、≥1路立体声线路输入接口、≥1路立体声线路输出接口，具有默音功能，100V广播输入优先于线路输入。具有≥1个麦克风音量调节，≥1个线路输入音量调节，≥2个高低音调节。</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3.支持≥100V广播优先输入接口。</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4.具有输出过载、过压、短路保护功能。</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5.信噪比≥73dB，频率响应等同或优于40~20KHz(≤±3dB)，谐波失真≤1%。</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只</w:t>
            </w:r>
            <w:r/>
          </w:p>
        </w:tc>
      </w:tr>
      <w:tr>
        <w:trPr>
          <w:trHeight w:val="240"/>
        </w:trPr>
        <w:tc>
          <w:tcPr>
            <w:tcW w:w="479"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调音台</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不少于16个话筒 / 20个线路输入 (12个单声道 + 4个立体声)</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4编组母线 + 1立体声母线</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AUX (包括FX)</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“D-PRE”话放，带有倒向晶体管电路</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单旋钮压缩器</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单声道输入通道上的PAD开关</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+48V幻象供电</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XLR平衡输出</w:t>
            </w:r>
            <w:r/>
          </w:p>
        </w:tc>
        <w:tc>
          <w:tcPr>
            <w:tcW w:w="121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61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台</w:t>
            </w:r>
            <w:r/>
          </w:p>
        </w:tc>
      </w:tr>
      <w:tr>
        <w:trPr>
          <w:trHeight w:val="240"/>
        </w:trPr>
        <w:tc>
          <w:tcPr>
            <w:tcW w:w="479"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反馈抑制器</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1.基于啸叫检测门限更新法，具有移频+陷波反馈抑制功能，可以使用≥48个可编程陷波点。</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3.设备具有编码旋钮和≥2.0英寸IPS屏幕，可用于控制和配置设备直通、场景。IPS屏幕能够显示IP地址，输入和输出通道的实时电平。</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4.具有设备定位，PC客户端具有一键定位局域网内同类设备功能，被定位到的设备会在显示屏上显示定位信息。</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5.设备具有统一集中控制功能，支持≥65535台设备通过软件集中控制。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6.支持多客户端数据同步，≥2个客户端以上连接混音器设备时，可实现多端数据同步。</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线路预埋与辅材</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HDMI线、音频线、地面穿线槽钢、端接、地面恢复等辅材</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r>
      <w:tr>
        <w:trPr>
          <w:trHeight w:val="240"/>
        </w:trPr>
        <w:tc>
          <w:tcPr>
            <w:tcW w:w="47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w:t>
            </w:r>
            <w:r/>
          </w:p>
        </w:tc>
        <w:tc>
          <w:tcPr>
            <w:gridSpan w:val="2"/>
            <w:tcW w:w="7085"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终端设备</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72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情指图控工作站处理器节点配件升级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节点搭载不少于10核心16线程专业级处理器，基础主频1.8GHz起，最大睿频可达4.8GHz，缓存≥24MB，配置独立散热风扇以确保持续高负载运行稳定性，具备强劲的多线程并行处理能力，有效保障多任务并发处理时的流畅性。</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情指图控工作站主板配件升级</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适配处理器节点，板载声卡、千兆网卡、内存插槽≥4、M.2接口(NVMe协议)数量≥1。</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情指图控工作站内存扩容配件升级</w:t>
            </w:r>
            <w:r/>
          </w:p>
        </w:tc>
        <w:tc>
          <w:tcPr>
            <w:tcW w:w="5813" w:type="dxa"/>
            <w:vAlign w:val="center"/>
            <w:textDirection w:val="lrTb"/>
            <w:noWrap w:val="false"/>
          </w:tcPr>
          <w:p>
            <w:p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不低于16G，DDR4以上内存</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情指图控工作站系统存储.扩容配件升级</w:t>
            </w:r>
            <w:r/>
          </w:p>
        </w:tc>
        <w:tc>
          <w:tcPr>
            <w:tcW w:w="5813" w:type="dxa"/>
            <w:vAlign w:val="center"/>
            <w:textDirection w:val="lrTb"/>
            <w:noWrap w:val="false"/>
          </w:tcPr>
          <w:p>
            <w:p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采用SSD固态硬盘：不小于512G，M.2接口(NVMe协议)</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因涉警务数据，</w:t>
            </w:r>
            <w:r>
              <w:rPr>
                <w:rFonts w:hint="eastAsia" w:ascii="宋体" w:hAnsi="宋体" w:cs="宋体"/>
                <w:b/>
                <w:bCs/>
                <w:color w:val="auto"/>
                <w:sz w:val="24"/>
                <w:szCs w:val="24"/>
                <w:highlight w:val="none"/>
              </w:rPr>
              <w:t xml:space="preserve">配件损坏以及质保期满之后不返还)</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情指图控工作站显示适配器配件升级</w:t>
            </w:r>
            <w:r/>
          </w:p>
        </w:tc>
        <w:tc>
          <w:tcPr>
            <w:tcW w:w="5813" w:type="dxa"/>
            <w:vAlign w:val="center"/>
            <w:textDirection w:val="lrTb"/>
            <w:noWrap w:val="false"/>
          </w:tcPr>
          <w:p>
            <w:p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独立显卡，CUDA核心≥</w:t>
            </w:r>
            <w:r>
              <w:rPr>
                <w:rFonts w:ascii="宋体" w:hAnsi="宋体" w:cs="宋体"/>
                <w:color w:val="auto"/>
                <w:sz w:val="24"/>
                <w:szCs w:val="24"/>
                <w:highlight w:val="none"/>
              </w:rPr>
              <w:t xml:space="preserve">1408个</w:t>
            </w:r>
            <w:r>
              <w:rPr>
                <w:rFonts w:hint="eastAsia" w:ascii="宋体" w:hAnsi="宋体" w:cs="宋体"/>
                <w:color w:val="auto"/>
                <w:sz w:val="24"/>
                <w:szCs w:val="24"/>
                <w:highlight w:val="none"/>
              </w:rPr>
              <w:t xml:space="preserve">，GDDR5显存≥6G，≥2路HDMI/DP输出</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块</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情指图控工作站机箱/电源配件升级</w:t>
            </w:r>
            <w:r/>
          </w:p>
        </w:tc>
        <w:tc>
          <w:tcPr>
            <w:tcW w:w="5813" w:type="dxa"/>
            <w:vAlign w:val="center"/>
            <w:textDirection w:val="lrTb"/>
            <w:noWrap w:val="false"/>
          </w:tcPr>
          <w:p>
            <w:p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前置4个USB3.0口与音频输出，ATX标准电源：功率不低于700W。</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r>
      <w:tr>
        <w:trPr>
          <w:trHeight w:val="999"/>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显示器</w:t>
            </w:r>
            <w:r/>
          </w:p>
        </w:tc>
        <w:tc>
          <w:tcPr>
            <w:tcW w:w="5813" w:type="dxa"/>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黑色</w:t>
            </w:r>
            <w:r>
              <w:rPr>
                <w:rFonts w:hint="eastAsia" w:ascii="宋体" w:hAnsi="宋体" w:cs="宋体"/>
                <w:color w:val="auto"/>
                <w:sz w:val="24"/>
                <w:szCs w:val="24"/>
                <w:highlight w:val="none"/>
              </w:rPr>
              <w:t xml:space="preserve">34英寸 屏幕比例21:9  分辨率3440*1440 刷新率≧100Hz 响应时间≦5ms 曲率1000R 对比度3000:1  sRGB 115% 10.7色数  内置KVM切换器 可分屏/多设备连接 HDR10 接口DP/HDMI/TYPE-C/内置扬声器 5W（含视频线等安装辅材）</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76</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竖屏显示器</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屏幕比例16:9， 尺寸27英寸，分辨率:3840*2160，面板:IPS 支持亮度:350cd/m2，Type-c PD90w+数据传输，扬声器3W*2接口 HDMI+DP+Type-c+usb+音频底座:倾斜/升降/旋转</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350M对讲机</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350M警用数字PDT基地台对讲机</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1.频率范围：350-400MHz；</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2.信道容量：≥1024；</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3.区域容量：≥64；</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4.工作电压：13.6V+15%；</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5.整机重量：≤1.8Kg；</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6.工作温度范围：包括 -30°~+60°；</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7.存储温度范围：包括 -40°~+85°；</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8.信道旋钮：无极性旋钮；</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9.加密模块适配：支持公安一所标准TF加密卡；</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10.显示屏尺寸：≥2.0英寸且不少于4行显示。</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11.数字声码器：AMBE++/NVOC双模声码器，两种模式可在终端本地菜单中切换；</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12.卫星定位方式：同时支持GPS/北斗/GPS+北斗，三种模式可在终端本地菜单中切换；</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13.工作模式：数模常规/模拟集群/数字集群，三种模式可在终端本地菜单中切换，且模式切换终端不重启；</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14.蓝牙：终端内置Bluetooth模块，支持与蓝牙耳机适配，适应各种使用环境；</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15.独立点火线功能：在汽车点火时，车载台自动开机，熄火时，自动关闭；</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16.支持分体设计：车载台支持主机和控制面板分体设计；</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17.为了便于安装，根据车载标准1DIN（长183*深153*高50mm）的规格要求，车载终端长、高尺寸不能高于长183mm、高50mm要求。</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18.手咪：全键盘手咪，具备独立PTT按键、独立紧急报警按键且可编程按键数量不少于4个。</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55"/>
        </w:trPr>
        <w:tc>
          <w:tcPr>
            <w:tcW w:w="479"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W w:w="1272"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16台数字基基地台馈线合路改造</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四功分器</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4</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只</w:t>
            </w:r>
            <w:r/>
          </w:p>
        </w:tc>
      </w:tr>
      <w:tr>
        <w:trPr>
          <w:trHeight w:val="255"/>
        </w:trPr>
        <w:tc>
          <w:tcPr>
            <w:tcW w:w="479"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2"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宽带单向器</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16</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只</w:t>
            </w:r>
            <w:r/>
          </w:p>
        </w:tc>
      </w:tr>
      <w:tr>
        <w:trPr>
          <w:trHeight w:val="255"/>
        </w:trPr>
        <w:tc>
          <w:tcPr>
            <w:tcW w:w="479"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2"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宽带双工器</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16</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只</w:t>
            </w:r>
            <w:r/>
          </w:p>
        </w:tc>
      </w:tr>
      <w:tr>
        <w:trPr>
          <w:trHeight w:val="255"/>
        </w:trPr>
        <w:tc>
          <w:tcPr>
            <w:tcW w:w="479"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2"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多路接收耦合放大器（含电源）</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5</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r>
      <w:tr>
        <w:trPr>
          <w:trHeight w:val="255"/>
        </w:trPr>
        <w:tc>
          <w:tcPr>
            <w:tcW w:w="479"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2"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接收滤波器</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套</w:t>
            </w:r>
            <w:r/>
          </w:p>
        </w:tc>
      </w:tr>
      <w:tr>
        <w:trPr>
          <w:trHeight w:val="255"/>
        </w:trPr>
        <w:tc>
          <w:tcPr>
            <w:tcW w:w="479"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2"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假负载</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15</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只</w:t>
            </w:r>
            <w:r/>
          </w:p>
        </w:tc>
      </w:tr>
      <w:tr>
        <w:trPr>
          <w:trHeight w:val="255"/>
        </w:trPr>
        <w:tc>
          <w:tcPr>
            <w:tcW w:w="479"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2"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6DB天线</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5</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w:t>
            </w:r>
            <w:r/>
          </w:p>
        </w:tc>
      </w:tr>
      <w:tr>
        <w:trPr>
          <w:trHeight w:val="255"/>
        </w:trPr>
        <w:tc>
          <w:tcPr>
            <w:tcW w:w="479"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2"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各种连接头和射频连接线</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批</w:t>
            </w:r>
            <w:r/>
          </w:p>
        </w:tc>
      </w:tr>
      <w:tr>
        <w:trPr>
          <w:trHeight w:val="255"/>
        </w:trPr>
        <w:tc>
          <w:tcPr>
            <w:tcW w:w="479"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2" w:type="dxa"/>
            <w:vAlign w:val="center"/>
            <w:vMerge w:val="continue"/>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32U600*600机柜（利旧）</w:t>
            </w:r>
            <w:r/>
          </w:p>
        </w:tc>
        <w:tc>
          <w:tcPr>
            <w:tcW w:w="1216" w:type="dxa"/>
            <w:textDirection w:val="lrTb"/>
            <w:noWrap w:val="false"/>
          </w:tcPr>
          <w:p>
            <w:pPr>
              <w:jc w:val="center"/>
              <w:widowControl/>
              <w:rPr>
                <w:rFonts w:hint="eastAsia" w:ascii="华文仿宋" w:hAnsi="华文仿宋" w:eastAsia="华文仿宋" w:cs="宋体"/>
                <w:color w:val="auto"/>
                <w:sz w:val="24"/>
                <w:szCs w:val="24"/>
                <w:highlight w:val="none"/>
              </w:rPr>
            </w:pPr>
            <w:r>
              <w:rPr>
                <w:rFonts w:hint="eastAsia" w:ascii="华文仿宋" w:hAnsi="华文仿宋" w:eastAsia="华文仿宋"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只</w:t>
            </w:r>
            <w:r/>
          </w:p>
        </w:tc>
      </w:tr>
      <w:tr>
        <w:trPr>
          <w:trHeight w:val="240"/>
        </w:trPr>
        <w:tc>
          <w:tcPr>
            <w:tcW w:w="47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w:t>
            </w:r>
            <w:r/>
          </w:p>
        </w:tc>
        <w:tc>
          <w:tcPr>
            <w:gridSpan w:val="2"/>
            <w:tcW w:w="7085"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综合布线及网络</w:t>
            </w:r>
            <w:r>
              <w:rPr>
                <w:rFonts w:hint="eastAsia" w:ascii="宋体" w:hAnsi="宋体" w:cs="宋体"/>
                <w:color w:val="auto"/>
                <w:sz w:val="24"/>
                <w:szCs w:val="24"/>
                <w:highlight w:val="none"/>
              </w:rPr>
              <w:t xml:space="preserve">　</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机柜</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600</w:t>
            </w:r>
            <w:r>
              <w:rPr>
                <w:rFonts w:hint="eastAsia" w:ascii="宋体" w:hAnsi="宋体" w:cs="宋体"/>
                <w:color w:val="auto"/>
                <w:sz w:val="24"/>
                <w:szCs w:val="24"/>
                <w:highlight w:val="none"/>
                <w:lang w:val="en-US" w:eastAsia="zh-CN"/>
              </w:rPr>
              <w:t xml:space="preserve">mm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1000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，42U机柜，含PDU</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12芯室内光缆等布线</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室内单模光缆（48工位调整光纤）约1200米，所有显控相关hdmi高清线等布线。</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全光汇聚交换机</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24千兆SFP端口，4万兆SFP+，交换容量不小于672Gbps，包转发率不小于126Mpps，内置AC电源，支持Guest VLAN、Voice VLAN、支持GVRP协议、支持环网保护技术</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接入交换机</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8千兆以太网口，2千兆SFP，交换容量不小于502Gbps，包转发率不小于78Mpps，强二层网管</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千兆光模块</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千兆单模双纤1310nm，10km，</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个</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万兆光模块</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万兆单模双纤1310nm，10km</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个</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大对数电话电缆</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20对电话电缆0.5线径无氧铜</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200</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米</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交换机</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2光24电，交换容量336Gbps，包转发率96Mpps</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拆除工程</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原大屏屏体，含DLP屏、LED条屏、LED竖屏、屏体底座、框架及部分装饰面拆除；显控等相关设备拆除；含围挡、垃圾清运等全部拆旧工程。</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274"/>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人脸自助核验门禁</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1、8寸LCD触控显示屏，支持多点触控操作</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2、分辨率不小于800*1280</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3、屏幕防暴等级IK04</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4、屏幕采用边框一体化设计，息屏时和边框融合，无明显边缘痕迹</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5、支持设备屏幕界面本地人脸注册；</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6、支持通过客户端工具进行人脸下发；</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7、支持通过设备web进行人脸注册下发；</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8、支持后端远程下发人脸；</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9、支持读取的证件照和抓拍照进行1:1比对；</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10、支持现场抓拍照和本地人脸库照片进行1：N比对（N最大支持3万张）；</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11、支持人脸动态跟踪框，最大人脸单个识别；</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12、支持侧脸、刘海、戴口罩、戴眼镜、戴帽子、逆光等条件下人脸可正常识别比对；</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13、人脸上下、左右偏转角度±45°范围内可正常识别比对；</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施工安全防护及设备调整</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因施工需临时调整指挥席位、办公区等，搬迁、网络临时布线，包含大厅内电脑、一键点调、电台、会议系统等，包含可能需要临时增加的所有备用设备、线路。</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24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指挥中心三楼机房整理及防静电地板</w:t>
            </w:r>
            <w:r/>
          </w:p>
        </w:tc>
        <w:tc>
          <w:tcPr>
            <w:tcW w:w="5813"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根据采购方实际需要及规范要求，清理指挥中心大厅东侧机柜、整理线路；机房更换陶瓷面防静电地板(面积约22.1m*7m=154.7㎡）。</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48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宽带</w:t>
            </w:r>
            <w:r/>
          </w:p>
        </w:tc>
        <w:tc>
          <w:tcPr>
            <w:tcW w:w="5813"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千兆互联网（含五年链路费）</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w:t>
            </w:r>
            <w:r/>
          </w:p>
        </w:tc>
      </w:tr>
      <w:tr>
        <w:trPr>
          <w:trHeight w:val="48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六</w:t>
            </w:r>
            <w:r/>
          </w:p>
        </w:tc>
        <w:tc>
          <w:tcPr>
            <w:tcW w:w="1272"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操作席位</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操作席位</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5人席位含显示器支架、PDU（国标六位）、键盘盆；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控制台外延长度：5860mm，席位深度：900mm；工作台面高度：750mm；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控制台电子设备舱为全金属材质，表面陶化静电喷粉工艺，设备舱内置专业理线架及国标86面板安装板。</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台板：采用优质SPC抗倍特板。防火、防潮、防刻划、绝缘、高耐磨、高强度。台板边沿一体延伸鸭嘴型抛光手枕。</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组</w:t>
            </w:r>
            <w:r/>
          </w:p>
        </w:tc>
      </w:tr>
      <w:tr>
        <w:trPr>
          <w:trHeight w:val="480"/>
        </w:trPr>
        <w:tc>
          <w:tcPr>
            <w:tcW w:w="47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操作席位</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10人席位含显示器支架、PDU（国标六位）、键盘盆；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控制台外延长度：13030mm，席位深度：900mm；工作台面高度：750mm；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控制台电子设备舱为全金属材质，表面陶化静电喷粉工艺，设备舱内置专业理线架及国标86面板安装板。</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台板：采用优质SPC抗倍特板。防火、防潮、防刻划、绝缘、高耐磨、高强度。台板边沿一体延伸鸭嘴型抛光手枕。</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组</w:t>
            </w:r>
            <w:r/>
          </w:p>
        </w:tc>
      </w:tr>
      <w:tr>
        <w:trPr>
          <w:trHeight w:val="48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272"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操作椅</w:t>
            </w:r>
            <w:r/>
          </w:p>
        </w:tc>
        <w:tc>
          <w:tcPr>
            <w:tcW w:w="5813"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材质性能要求：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1、头枕、椅背、椅座均为进口优质网布；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2、黑色尼龙塑胶框架，PU扶手垫；</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3、线控底盘为钢板材质；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4、铝合金五星脚，85mm气压棒,；</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5、60mmPU静音电镀滑轮；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功能介绍：</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1、新型：呵护式智慧3D头枕，高度可7段升降调节，深度可平移4段调节，自适应角度调节；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2、椅背采用腰背分离式设计，包覆式腰枕，独立弹簧支撑；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3、双线控底盘，配备后仰压力调节旋钮，按钮控制坐垫升降高度调节，倾仰三段锁定调节；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4、尼龙3D扶手可高低升降、扶手面可左右旋转及前后滑动；  5、静音滑轮</w:t>
            </w:r>
            <w:r/>
          </w:p>
        </w:tc>
        <w:tc>
          <w:tcPr>
            <w:tcW w:w="1216"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618"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480"/>
        </w:trPr>
        <w:tc>
          <w:tcPr>
            <w:tcW w:w="479"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大厅操作台拆装</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为确保施工安全，需提前对操作台和会议桌拆移，吊顶、顶灯翻新完工及施工结束后工位操作台等安装。</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336"/>
        </w:trPr>
        <w:tc>
          <w:tcPr>
            <w:tcW w:w="47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w:t>
            </w:r>
            <w:r/>
          </w:p>
        </w:tc>
        <w:tc>
          <w:tcPr>
            <w:gridSpan w:val="2"/>
            <w:tcW w:w="7085"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数据及运维服务</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40"/>
        </w:trPr>
        <w:tc>
          <w:tcPr>
            <w:tcW w:w="479" w:type="dxa"/>
            <w:vAlign w:val="center"/>
            <w:textDirection w:val="lrTb"/>
            <w:noWrap w:val="false"/>
          </w:tcPr>
          <w:p>
            <w:pPr>
              <w:jc w:val="center"/>
              <w:widowControl/>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272"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会议视频调阅终端服务</w:t>
            </w:r>
            <w:r/>
          </w:p>
        </w:tc>
        <w:tc>
          <w:tcPr>
            <w:tcW w:w="581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1.支持不少于16路1080P H.264以上视频流同时在线调阅播放</w:t>
            </w:r>
            <w:r>
              <w:rPr>
                <w:rFonts w:hint="eastAsia" w:ascii="宋体" w:hAnsi="宋体" w:eastAsia="宋体" w:cs="宋体"/>
                <w:color w:val="auto"/>
                <w:sz w:val="24"/>
                <w:szCs w:val="24"/>
                <w:highlight w:val="none"/>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2.供应商需提供相关软硬件及对接组件配件</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因涉警务数据，</w:t>
            </w:r>
            <w:r>
              <w:rPr>
                <w:rFonts w:hint="eastAsia" w:ascii="宋体" w:hAnsi="宋体" w:cs="宋体"/>
                <w:b/>
                <w:bCs/>
                <w:color w:val="auto"/>
                <w:sz w:val="24"/>
                <w:szCs w:val="24"/>
                <w:highlight w:val="none"/>
              </w:rPr>
              <w:t xml:space="preserve">配件损坏以及质保期满之后不返还)</w:t>
            </w:r>
            <w:r>
              <w:rPr>
                <w:rFonts w:hint="eastAsia" w:ascii="宋体" w:hAnsi="宋体" w:eastAsia="宋体" w:cs="宋体"/>
                <w:color w:val="auto"/>
                <w:sz w:val="24"/>
                <w:szCs w:val="24"/>
                <w:highlight w:val="none"/>
              </w:rPr>
              <w:t xml:space="preserve">，所供设备性能配置不应低于：CPU24核心32线程/32G DDR5内存/5070 8G独显/1T固态/16英寸2.5K/165HZ。</w:t>
            </w:r>
            <w:r/>
          </w:p>
          <w:p>
            <w:pPr>
              <w:jc w:val="left"/>
              <w:widowControl/>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3.自带WAN接口，可拆除无线网卡及蓝牙等模块。</w:t>
            </w:r>
            <w:r/>
          </w:p>
        </w:tc>
        <w:tc>
          <w:tcPr>
            <w:shd w:val="clear" w:color="auto" w:fill="auto"/>
            <w:tcW w:w="121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2</w:t>
            </w:r>
            <w:r/>
          </w:p>
        </w:tc>
        <w:tc>
          <w:tcPr>
            <w:shd w:val="clear" w:color="auto" w:fill="auto"/>
            <w:tcW w:w="61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台</w:t>
            </w:r>
            <w:r/>
          </w:p>
        </w:tc>
      </w:tr>
      <w:tr>
        <w:trPr>
          <w:trHeight w:val="240"/>
        </w:trPr>
        <w:tc>
          <w:tcPr>
            <w:tcW w:w="479" w:type="dxa"/>
            <w:vAlign w:val="center"/>
            <w:textDirection w:val="lrTb"/>
            <w:noWrap w:val="false"/>
          </w:tcPr>
          <w:p>
            <w:pPr>
              <w:jc w:val="center"/>
              <w:widowControl/>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272" w:type="dxa"/>
            <w:vAlign w:val="center"/>
            <w:textDirection w:val="lrTb"/>
            <w:noWrap w:val="false"/>
          </w:tcPr>
          <w:p>
            <w:pPr>
              <w:jc w:val="left"/>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LED数据展示</w:t>
            </w:r>
            <w:r/>
          </w:p>
        </w:tc>
        <w:tc>
          <w:tcPr>
            <w:tcW w:w="5813" w:type="dxa"/>
            <w:vAlign w:val="center"/>
            <w:textDirection w:val="lrTb"/>
            <w:noWrap w:val="false"/>
          </w:tcPr>
          <w:p>
            <w:pPr>
              <w:jc w:val="left"/>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大屏常态警情、警力数据展示</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240"/>
        </w:trPr>
        <w:tc>
          <w:tcPr>
            <w:tcW w:w="479" w:type="dxa"/>
            <w:vAlign w:val="center"/>
            <w:textDirection w:val="lrTb"/>
            <w:noWrap w:val="false"/>
          </w:tcPr>
          <w:p>
            <w:pPr>
              <w:jc w:val="center"/>
              <w:widowControl/>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维护设备</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用于大屏等维护维修的简易升降机、梯子和安全防坠装置等</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240"/>
        </w:trPr>
        <w:tc>
          <w:tcPr>
            <w:tcW w:w="479" w:type="dxa"/>
            <w:vAlign w:val="center"/>
            <w:textDirection w:val="lrTb"/>
            <w:noWrap w:val="false"/>
          </w:tcPr>
          <w:p>
            <w:pPr>
              <w:jc w:val="center"/>
              <w:widowControl/>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大屏配套装饰及修补</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大屏框架周边装饰及修补，需与大厅风格协调一致</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r>
        <w:trPr>
          <w:trHeight w:val="240"/>
        </w:trPr>
        <w:tc>
          <w:tcPr>
            <w:tcW w:w="479" w:type="dxa"/>
            <w:vAlign w:val="center"/>
            <w:textDirection w:val="lrTb"/>
            <w:noWrap w:val="false"/>
          </w:tcPr>
          <w:p>
            <w:pPr>
              <w:jc w:val="center"/>
              <w:widowControl/>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27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吊顶翻新光源调整及地面修补翻新</w:t>
            </w:r>
            <w:r/>
          </w:p>
        </w:tc>
        <w:tc>
          <w:tcPr>
            <w:tcW w:w="581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指挥大厅（不含情报和接警中心）顶面拆装翻新、整体灯光面光源调整及地坪拆除、修补翻新，垃圾清运（中标后需出具吊顶、地坪翻新及灯光调整方案，采购单位确认后施工）</w:t>
            </w:r>
            <w:r/>
          </w:p>
        </w:tc>
        <w:tc>
          <w:tcPr>
            <w:tcW w:w="121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p>
        </w:tc>
      </w:tr>
    </w:tbl>
    <w:p>
      <w:pPr>
        <w:spacing w:line="400" w:lineRule="exact"/>
        <w:rPr>
          <w:rFonts w:ascii="宋体" w:hAnsi="宋体" w:eastAsia="宋体" w:cs="宋体"/>
          <w:b/>
          <w:bCs/>
          <w:sz w:val="24"/>
          <w:szCs w:val="24"/>
          <w:highlight w:val="none"/>
        </w:rPr>
      </w:pPr>
      <w:r>
        <w:rPr>
          <w:rFonts w:ascii="宋体" w:hAnsi="宋体" w:eastAsia="宋体" w:cs="宋体"/>
          <w:b/>
          <w:bCs/>
          <w:sz w:val="24"/>
          <w:szCs w:val="24"/>
          <w:highlight w:val="none"/>
        </w:rPr>
      </w:r>
      <w:r/>
    </w:p>
    <w:p>
      <w:pPr>
        <w:spacing w:afterAutospacing="0" w:line="400" w:lineRule="exact"/>
        <w:rPr>
          <w:rFonts w:ascii="黑体" w:hAnsi="黑体" w:eastAsia="黑体" w:cs="宋体"/>
          <w:b/>
          <w:bCs/>
          <w:color w:val="ff0000"/>
          <w:sz w:val="28"/>
          <w:szCs w:val="28"/>
          <w:highlight w:val="none"/>
        </w:rPr>
        <w:outlineLvl w:val="1"/>
      </w:pPr>
      <w:r>
        <w:rPr>
          <w:rFonts w:hint="eastAsia" w:ascii="宋体" w:hAnsi="宋体" w:eastAsia="宋体" w:cs="宋体"/>
          <w:b/>
          <w:bCs/>
          <w:sz w:val="24"/>
          <w:szCs w:val="24"/>
          <w:highlight w:val="none"/>
          <w:lang w:val="en-US" w:eastAsia="zh-CN"/>
        </w:rPr>
        <w:t xml:space="preserve">6.2 </w:t>
      </w:r>
      <w:r>
        <w:rPr>
          <w:rFonts w:hint="eastAsia" w:ascii="宋体" w:hAnsi="宋体" w:eastAsia="宋体" w:cs="宋体"/>
          <w:b/>
          <w:bCs/>
          <w:sz w:val="24"/>
          <w:szCs w:val="24"/>
          <w:highlight w:val="none"/>
        </w:rPr>
        <w:t xml:space="preserve">主要设备详细技术参数要求：</w:t>
      </w:r>
      <w:r/>
    </w:p>
    <w:p>
      <w:pPr>
        <w:pStyle w:val="864"/>
        <w:keepLines/>
        <w:keepNext/>
        <w:pageBreakBefore w:val="0"/>
        <w:spacing w:before="215" w:beforeAutospacing="0" w:after="0" w:line="400" w:lineRule="exact"/>
        <w:widowControl w:val="off"/>
        <w:rPr>
          <w:rFonts w:hint="eastAsia" w:ascii="宋体" w:hAnsi="宋体"/>
          <w:color w:val="auto"/>
          <w:sz w:val="24"/>
          <w:szCs w:val="24"/>
          <w:highlight w:val="none"/>
        </w:rPr>
      </w:pPr>
      <w:r/>
      <w:bookmarkStart w:id="20" w:name="OLE_LINK26"/>
      <w:r>
        <w:rPr>
          <w:rFonts w:hint="eastAsia" w:ascii="宋体" w:hAnsi="宋体"/>
          <w:color w:val="auto"/>
          <w:sz w:val="24"/>
          <w:szCs w:val="24"/>
          <w:highlight w:val="none"/>
          <w:lang w:val="en-US" w:eastAsia="zh-CN"/>
        </w:rPr>
        <w:t xml:space="preserve">6.2</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P1.25小间距LED屏</w:t>
      </w:r>
      <w:bookmarkEnd w:id="20"/>
      <w:r/>
      <w:r/>
    </w:p>
    <w:p>
      <w:pPr>
        <w:ind w:firstLine="420"/>
        <w:spacing w:line="400" w:lineRule="exact"/>
        <w:rPr>
          <w:rFonts w:hint="default" w:ascii="宋体" w:hAnsi="宋体" w:eastAsiaTheme="minorEastAsia"/>
          <w:color w:val="auto"/>
          <w:sz w:val="24"/>
          <w:szCs w:val="24"/>
          <w:highlight w:val="none"/>
          <w:lang w:val="en-US" w:eastAsia="zh-CN"/>
        </w:rPr>
      </w:pPr>
      <w:r/>
      <w:bookmarkStart w:id="21" w:name="OLE_LINK83"/>
      <w:r/>
      <w:bookmarkStart w:id="22" w:name="OLE_LINK100"/>
      <w:r>
        <w:rPr>
          <w:rFonts w:hint="eastAsia" w:ascii="宋体" w:hAnsi="宋体"/>
          <w:color w:val="auto"/>
          <w:sz w:val="24"/>
          <w:szCs w:val="24"/>
          <w:highlight w:val="none"/>
        </w:rPr>
        <w:t xml:space="preserve">1.★主屏幕尺寸：≥16.2m*5.4m，屏幕面积：≥87.48㎡(曲面安装，不含边框)投标面积含备品共96.23㎡；辅屏幕尺寸：≥4.8m*3.0375m</w:t>
      </w:r>
      <w:r>
        <w:rPr>
          <w:rFonts w:hint="eastAsia" w:ascii="宋体" w:hAnsi="宋体" w:cs="宋体"/>
          <w:color w:val="auto"/>
          <w:sz w:val="24"/>
          <w:szCs w:val="24"/>
          <w:highlight w:val="none"/>
        </w:rPr>
        <w:t xml:space="preserve">(或5.4</w:t>
      </w:r>
      <w:r>
        <w:rPr>
          <w:rFonts w:hint="eastAsia" w:ascii="宋体" w:hAnsi="宋体"/>
          <w:color w:val="auto"/>
          <w:sz w:val="24"/>
          <w:szCs w:val="24"/>
          <w:highlight w:val="none"/>
        </w:rPr>
        <w:t xml:space="preserve">m*2.7m</w:t>
      </w:r>
      <w:r>
        <w:rPr>
          <w:rFonts w:hint="eastAsia" w:ascii="宋体" w:hAnsi="宋体" w:cs="宋体"/>
          <w:color w:val="auto"/>
          <w:sz w:val="24"/>
          <w:szCs w:val="24"/>
          <w:highlight w:val="none"/>
        </w:rPr>
        <w:t xml:space="preserve">)</w:t>
      </w:r>
      <w:r>
        <w:rPr>
          <w:rFonts w:ascii="Arial" w:hAnsi="Arial" w:cs="Arial"/>
          <w:color w:val="auto"/>
          <w:sz w:val="24"/>
          <w:szCs w:val="24"/>
          <w:highlight w:val="none"/>
        </w:rPr>
        <w:t xml:space="preserve">×</w:t>
      </w: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，屏幕面积：≥29.16㎡(平面安装，不含边框)，投标面积含备品共32.08㎡</w:t>
      </w:r>
      <w:r>
        <w:rPr>
          <w:rFonts w:hint="eastAsia"/>
          <w:color w:val="auto"/>
          <w:sz w:val="24"/>
          <w:szCs w:val="24"/>
          <w:highlight w:val="none"/>
        </w:rPr>
        <w:t xml:space="preserve">，</w:t>
      </w:r>
      <w:r>
        <w:rPr>
          <w:rFonts w:hint="eastAsia"/>
          <w:b/>
          <w:bCs/>
          <w:color w:val="auto"/>
          <w:sz w:val="24"/>
          <w:szCs w:val="24"/>
          <w:highlight w:val="none"/>
        </w:rPr>
        <w:t xml:space="preserve">以上备品及同等配置数量的接收卡、发送卡均随货直发现场安装</w:t>
      </w:r>
      <w:r>
        <w:rPr>
          <w:rFonts w:hint="eastAsia"/>
          <w:color w:val="auto"/>
          <w:sz w:val="24"/>
          <w:szCs w:val="24"/>
          <w:highlight w:val="none"/>
        </w:rPr>
        <w:t xml:space="preserve">。</w:t>
      </w:r>
      <w:r>
        <w:rPr>
          <w:rFonts w:hint="eastAsia" w:ascii="宋体" w:hAnsi="宋体"/>
          <w:b/>
          <w:bCs/>
          <w:color w:val="auto"/>
          <w:sz w:val="24"/>
          <w:szCs w:val="24"/>
          <w:highlight w:val="none"/>
        </w:rPr>
        <w:t xml:space="preserve">驱动方式：共阴恒流驱动</w:t>
      </w:r>
      <w:r>
        <w:rPr>
          <w:rFonts w:hint="eastAsia" w:ascii="宋体" w:hAnsi="宋体"/>
          <w:color w:val="auto"/>
          <w:sz w:val="24"/>
          <w:szCs w:val="24"/>
          <w:highlight w:val="none"/>
        </w:rPr>
        <w:t xml:space="preserve">；分辨率：≥12960*4320，点间距：≤1.25mm；像素密度： ≥640000点/㎡；箱体单元宽高厚尺寸：≤600*337.5*50mm，显示比例：16：9</w:t>
      </w:r>
      <w:r>
        <w:rPr>
          <w:rFonts w:hint="eastAsia" w:ascii="宋体" w:hAnsi="宋体"/>
          <w:color w:val="auto"/>
          <w:sz w:val="24"/>
          <w:szCs w:val="24"/>
          <w:highlight w:val="none"/>
          <w:lang w:val="en-US" w:eastAsia="zh-CN"/>
        </w:rPr>
        <w:t xml:space="preserve">；</w:t>
      </w:r>
      <w:r/>
    </w:p>
    <w:p>
      <w:pPr>
        <w:ind w:firstLine="420"/>
        <w:spacing w:line="400" w:lineRule="exact"/>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2.★采用RGB晶片全倒装技术，集成三合一COB封装；LED显示屏箱体为压铸铝合金或镁铝合金材质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一次性整体压铸成型；</w:t>
      </w:r>
      <w:r>
        <w:rPr>
          <w:rFonts w:hint="eastAsia" w:ascii="宋体" w:hAnsi="宋体"/>
          <w:color w:val="auto"/>
          <w:sz w:val="24"/>
          <w:highlight w:val="none"/>
          <w:lang w:eastAsia="zh-CN"/>
        </w:rPr>
        <w:t xml:space="preserve">（</w:t>
      </w:r>
      <w:r>
        <w:rPr>
          <w:rFonts w:hint="eastAsia" w:ascii="宋体" w:hAnsi="宋体"/>
          <w:b/>
          <w:bCs/>
          <w:color w:val="auto"/>
          <w:sz w:val="24"/>
          <w:highlight w:val="none"/>
        </w:rPr>
        <w:t xml:space="preserve">需提供第三方权威机构出具的检测报告扫描件</w:t>
      </w:r>
      <w:r>
        <w:rPr>
          <w:rFonts w:hint="eastAsia" w:ascii="宋体" w:hAnsi="宋体"/>
          <w:color w:val="auto"/>
          <w:sz w:val="24"/>
          <w:highlight w:val="none"/>
          <w:lang w:eastAsia="zh-CN"/>
        </w:rPr>
        <w:t xml:space="preserve">）</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3.▲刷新频率:≥</w:t>
      </w:r>
      <w:r>
        <w:rPr>
          <w:rFonts w:hint="eastAsia" w:ascii="宋体" w:hAnsi="宋体"/>
          <w:color w:val="auto"/>
          <w:sz w:val="24"/>
          <w:highlight w:val="none"/>
          <w:lang w:val="en-US" w:eastAsia="zh-CN"/>
        </w:rPr>
        <w:t xml:space="preserve">420</w:t>
      </w:r>
      <w:r>
        <w:rPr>
          <w:rFonts w:hint="eastAsia" w:ascii="宋体" w:hAnsi="宋体"/>
          <w:color w:val="auto"/>
          <w:sz w:val="24"/>
          <w:highlight w:val="none"/>
        </w:rPr>
        <w:t xml:space="preserve">0Hz；摩尔纹抑制:支持摩尔纹抑制功能，主观抑制效果达到≥90%；</w:t>
      </w:r>
      <w:r>
        <w:rPr>
          <w:rFonts w:hint="eastAsia" w:ascii="宋体" w:hAnsi="宋体"/>
          <w:color w:val="auto"/>
          <w:sz w:val="24"/>
          <w:highlight w:val="none"/>
          <w:lang w:eastAsia="zh-CN"/>
        </w:rPr>
        <w:t xml:space="preserve">（</w:t>
      </w:r>
      <w:r>
        <w:rPr>
          <w:rFonts w:hint="eastAsia" w:ascii="宋体" w:hAnsi="宋体"/>
          <w:b/>
          <w:bCs/>
          <w:color w:val="auto"/>
          <w:sz w:val="24"/>
          <w:highlight w:val="none"/>
        </w:rPr>
        <w:t xml:space="preserve">需提供第三方权威机构出具的检测报告扫描件</w:t>
      </w:r>
      <w:r>
        <w:rPr>
          <w:rFonts w:hint="eastAsia" w:ascii="宋体" w:hAnsi="宋体"/>
          <w:color w:val="auto"/>
          <w:sz w:val="24"/>
          <w:highlight w:val="none"/>
          <w:lang w:eastAsia="zh-CN"/>
        </w:rPr>
        <w:t xml:space="preserve">）</w:t>
      </w:r>
      <w:r/>
    </w:p>
    <w:p>
      <w:pPr>
        <w:ind w:firstLine="420"/>
        <w:spacing w:line="400" w:lineRule="exact"/>
        <w:rPr>
          <w:rFonts w:hint="default" w:ascii="宋体" w:hAnsi="宋体"/>
          <w:color w:val="auto"/>
          <w:sz w:val="24"/>
          <w:highlight w:val="none"/>
          <w:lang w:val="en-US"/>
        </w:rPr>
      </w:pPr>
      <w:r>
        <w:rPr>
          <w:rFonts w:hint="eastAsia" w:ascii="宋体" w:hAnsi="宋体"/>
          <w:color w:val="auto"/>
          <w:sz w:val="24"/>
          <w:highlight w:val="none"/>
        </w:rPr>
        <w:t xml:space="preserve">4.▲</w:t>
      </w:r>
      <w:r>
        <w:rPr>
          <w:rFonts w:hint="eastAsia" w:ascii="宋体" w:hAnsi="宋体"/>
          <w:b/>
          <w:bCs/>
          <w:color w:val="auto"/>
          <w:sz w:val="24"/>
          <w:highlight w:val="none"/>
        </w:rPr>
        <w:t xml:space="preserve">提供TUV低蓝光认证证书</w:t>
      </w:r>
      <w:r>
        <w:rPr>
          <w:rFonts w:hint="eastAsia" w:ascii="宋体" w:hAnsi="宋体"/>
          <w:b/>
          <w:bCs/>
          <w:color w:val="auto"/>
          <w:sz w:val="24"/>
          <w:highlight w:val="none"/>
          <w:lang w:val="en-US" w:eastAsia="zh-CN"/>
        </w:rPr>
        <w:t xml:space="preserve">扫描件</w:t>
      </w:r>
      <w:r>
        <w:rPr>
          <w:rFonts w:hint="eastAsia" w:ascii="宋体" w:hAnsi="宋体"/>
          <w:b w:val="0"/>
          <w:bCs w:val="0"/>
          <w:color w:val="auto"/>
          <w:sz w:val="24"/>
          <w:highlight w:val="none"/>
          <w:lang w:val="en-US" w:eastAsia="zh-CN"/>
        </w:rPr>
        <w:t xml:space="preserve">;</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5.亮度: ≥1200nits，支持由配套软件0-100%无级调节；最大对比度：≥35000：1；</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6.视角:水平≥170°，垂直≥170°；</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7.电源能效:LED显示屏供电电源功率因数：≥98.5%；峰值功耗：≤320W/㎡；平均功耗：≤160W/㎡；标配单卡单电源；设备在正常工作条件下，连续工作168h，不应出现电、机械或操作系统的故障；支持7*24小时无间断工作，使用寿命≥150,000小时；MTBF≥150,000小时；</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8.色彩管理：DCI-P3色域重合率≥97%；校正技术：具有单点亮度单点色度校正和灰度校正；支持屏体拼缝亮暗线校正；</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9.IP防护等级：至少符合防护等级IP5X要求；</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10.反光率：屏体亚黑处理，反光率≤0.5%；</w:t>
      </w:r>
      <w:r/>
    </w:p>
    <w:p>
      <w:pPr>
        <w:ind w:firstLine="420"/>
        <w:spacing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11.LED显示屏温升低，要求环境温度在25℃时，屏体在600nits白屏状态下，运行3小时，屏体表面温升≤15℃;LED显示屏正常使用达到热平衡后，屏体结构金属部分、绝缘材料温升≤15℃</w:t>
      </w:r>
      <w:r>
        <w:rPr>
          <w:rFonts w:hint="eastAsia" w:ascii="宋体" w:hAnsi="宋体"/>
          <w:color w:val="auto"/>
          <w:sz w:val="24"/>
          <w:highlight w:val="none"/>
          <w:lang w:eastAsia="zh-CN"/>
        </w:rPr>
        <w:t xml:space="preserve">；</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12.显示单元水平和垂直相对错位：≤0.04mm；信号处理深度：≥14bit；</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13.低延时:屏体依据视频源输入频率，低延时，延时≤1帧；</w:t>
      </w:r>
      <w:r/>
    </w:p>
    <w:p>
      <w:pPr>
        <w:ind w:firstLine="420"/>
        <w:spacing w:line="400" w:lineRule="exact"/>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14.AI智能感应检测:屏体可支持人体检测，检测屏体前有人时，正常显示；检测屏体前无人时，屏体低亮显示或黑屏节能</w:t>
      </w:r>
      <w:r>
        <w:rPr>
          <w:rFonts w:hint="eastAsia" w:ascii="宋体" w:hAnsi="宋体"/>
          <w:color w:val="auto"/>
          <w:sz w:val="24"/>
          <w:highlight w:val="none"/>
          <w:lang w:eastAsia="zh-CN"/>
        </w:rPr>
        <w:t xml:space="preserve">；</w:t>
      </w:r>
      <w:r/>
    </w:p>
    <w:p>
      <w:pPr>
        <w:ind w:firstLine="420"/>
        <w:spacing w:line="400" w:lineRule="exact"/>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15.需含配套的视频监控集成平台软件，满足视频监控、数据汇聚等信号源灵活显示</w:t>
      </w:r>
      <w:r>
        <w:rPr>
          <w:rFonts w:hint="eastAsia" w:ascii="宋体" w:hAnsi="宋体"/>
          <w:color w:val="auto"/>
          <w:sz w:val="24"/>
          <w:highlight w:val="none"/>
          <w:lang w:eastAsia="zh-CN"/>
        </w:rPr>
        <w:t xml:space="preserve">。</w:t>
      </w:r>
      <w:bookmarkEnd w:id="21"/>
      <w:r/>
      <w:bookmarkEnd w:id="22"/>
      <w:r/>
      <w:r/>
    </w:p>
    <w:p>
      <w:pPr>
        <w:pStyle w:val="864"/>
        <w:spacing w:after="0" w:afterAutospacing="0" w:line="400" w:lineRule="exac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6.2.2 接收卡</w:t>
      </w:r>
      <w:r/>
    </w:p>
    <w:p>
      <w:pPr>
        <w:ind w:firstLine="420"/>
        <w:spacing w:beforeAutospacing="0" w:line="400" w:lineRule="exact"/>
        <w:rPr>
          <w:rFonts w:hint="eastAsia" w:ascii="宋体" w:hAnsi="宋体"/>
          <w:color w:val="auto"/>
          <w:sz w:val="24"/>
          <w:highlight w:val="none"/>
        </w:rPr>
      </w:pPr>
      <w:r>
        <w:rPr>
          <w:rFonts w:hint="eastAsia" w:ascii="宋体" w:hAnsi="宋体"/>
          <w:color w:val="auto"/>
          <w:sz w:val="24"/>
          <w:highlight w:val="none"/>
        </w:rPr>
        <w:t xml:space="preserve">1. 单卡最大带载分辨率 512×512@60Hz，支持动态引擎、全灰阶校正和画质引擎技术。</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2. 支持逐点亮色度校正、快速亮暗线调节、低延迟、3D、RGB 独立 Gamma 调节、HDR 等功能。</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 ▲采用DDR2 接口进行通讯，具有良好的兼容性，最多支持 32 组RGB 并行数据，或 64 组串行数据，可扩展为 128 组串行数据。</w:t>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r>
      <w:r/>
    </w:p>
    <w:p>
      <w:pPr>
        <w:pStyle w:val="864"/>
        <w:keepLines/>
        <w:keepNext/>
        <w:pageBreakBefore w:val="0"/>
        <w:spacing w:before="0" w:after="0"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显控系统</w:t>
      </w:r>
      <w:r/>
    </w:p>
    <w:p>
      <w:pPr>
        <w:ind w:firstLine="480"/>
        <w:spacing w:line="400" w:lineRule="exact"/>
        <w:rPr>
          <w:rFonts w:hint="eastAsia" w:ascii="宋体" w:hAnsi="宋体"/>
          <w:color w:val="auto"/>
          <w:sz w:val="24"/>
          <w:highlight w:val="none"/>
        </w:rPr>
      </w:pPr>
      <w:r/>
      <w:bookmarkStart w:id="23" w:name="OLE_LINK67"/>
      <w:r/>
      <w:bookmarkStart w:id="24" w:name="OLE_LINK7"/>
      <w:r/>
      <w:bookmarkStart w:id="25" w:name="OLE_LINK11"/>
      <w:r>
        <w:rPr>
          <w:rFonts w:hint="eastAsia" w:ascii="宋体" w:hAnsi="宋体"/>
          <w:color w:val="auto"/>
          <w:sz w:val="24"/>
          <w:highlight w:val="none"/>
        </w:rPr>
        <w:t xml:space="preserve">1.★纯光纤线路。本次配置的板卡同时支持≥56路4K光纤信号输入、≥16路4K光纤输出、≥4路4K60HDMI输入、≥12路4K60HDMI拼接输出、≥8路4KHDMI输入、≥6路4KHDMI输出、≥16路4K网络码流解码。</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2.▲双总线结构，模块化、无线缆、无源背板设计；</w:t>
      </w:r>
      <w:r>
        <w:rPr>
          <w:rFonts w:hint="eastAsia" w:ascii="宋体" w:hAnsi="宋体"/>
          <w:color w:val="auto"/>
          <w:sz w:val="24"/>
          <w:highlight w:val="none"/>
          <w:lang w:eastAsia="zh-CN"/>
        </w:rPr>
        <w:t xml:space="preserve">（</w:t>
      </w:r>
      <w:r>
        <w:rPr>
          <w:rFonts w:hint="eastAsia" w:ascii="宋体" w:hAnsi="宋体"/>
          <w:b/>
          <w:bCs/>
          <w:color w:val="auto"/>
          <w:sz w:val="24"/>
          <w:highlight w:val="none"/>
        </w:rPr>
        <w:t xml:space="preserve">需提供第三方权威机构出具的检测报告扫描件</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3.▲支持电源模块冗余备份，支持电源模块热插拔；支持冗余电源协同供电，满足所配置板卡功耗负载的前提下，任意多个电源故障不影响系统正常运行；</w:t>
      </w:r>
      <w:r>
        <w:rPr>
          <w:rFonts w:hint="eastAsia" w:ascii="宋体" w:hAnsi="宋体"/>
          <w:color w:val="auto"/>
          <w:sz w:val="24"/>
          <w:highlight w:val="none"/>
          <w:lang w:eastAsia="zh-CN"/>
        </w:rPr>
        <w:t xml:space="preserve">（</w:t>
      </w:r>
      <w:r>
        <w:rPr>
          <w:rFonts w:hint="eastAsia" w:ascii="宋体" w:hAnsi="宋体"/>
          <w:b/>
          <w:bCs/>
          <w:color w:val="auto"/>
          <w:sz w:val="24"/>
          <w:highlight w:val="none"/>
        </w:rPr>
        <w:t xml:space="preserve">需提供第三方权威机构出具的检测报告扫描件</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4.▲支持控制卡、光纤板卡、视频板卡、风扇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交换模块等各模块均支持热插拔，更换过程中不用更换机箱，只需要更换交换板</w:t>
      </w:r>
      <w:r>
        <w:rPr>
          <w:rFonts w:hint="eastAsia" w:ascii="宋体" w:hAnsi="宋体"/>
          <w:color w:val="auto"/>
          <w:sz w:val="24"/>
          <w:highlight w:val="none"/>
          <w:lang w:eastAsia="zh-CN"/>
        </w:rPr>
        <w:t xml:space="preserve">等，</w:t>
      </w:r>
      <w:r>
        <w:rPr>
          <w:rFonts w:hint="eastAsia" w:ascii="宋体" w:hAnsi="宋体"/>
          <w:color w:val="auto"/>
          <w:sz w:val="24"/>
          <w:highlight w:val="none"/>
        </w:rPr>
        <w:t xml:space="preserve">不影响其他模块正常工作</w:t>
      </w:r>
      <w:r>
        <w:rPr>
          <w:rFonts w:hint="eastAsia" w:ascii="宋体" w:hAnsi="宋体"/>
          <w:color w:val="auto"/>
          <w:sz w:val="24"/>
          <w:highlight w:val="none"/>
          <w:lang w:eastAsia="zh-CN"/>
        </w:rPr>
        <w:t xml:space="preserve">（</w:t>
      </w:r>
      <w:r>
        <w:rPr>
          <w:rFonts w:hint="eastAsia" w:ascii="宋体" w:hAnsi="宋体"/>
          <w:b/>
          <w:bCs/>
          <w:color w:val="auto"/>
          <w:sz w:val="24"/>
          <w:highlight w:val="none"/>
        </w:rPr>
        <w:t xml:space="preserve">需提供第三方权威机构出具的检测报告扫描件</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5.支持混插不同功能的输入、输出、画面分割、扩展等功能板，支持任意组合不同的功能模块；</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6.可无缝扩容，增加功能时，不需要更换机箱原机箱、交换板等；</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7.支持视频矩阵、音频矩阵、拼控、解码器、编码器、流媒体、KVM坐席管理、画面分割等功能，在一台设备上实现，在一个界面上调度管理；</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8.支持B/S架构及C/S架构，支持windows及国产操作系统；</w:t>
      </w:r>
      <w:bookmarkEnd w:id="23"/>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9.支持主控板故障时，不影响已经设定好的输入、输出状态。</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10.支持1+N堆叠扩展，其中N支持大于8个；</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11.单路切换上墙延时≤10ms；</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12.支持无控制卡的最低安全工作模式，支持运行期间控制卡拔出，控制卡拔出后大屏无黑屏、无闪烁，席位显示器无黑屏、无闪烁、KVM 键鼠能正常操作电脑</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13.支持符合GB/28181协议的前端接入，支持通过RTSP直接获取监控前端码流；</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14.支持自动读取输入信号属性并自适应输出；支持对输入信号源进行缩放、拉伸、平铺后输出；支持截取输入信号的局部图像进行显示；</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15.支持任意输出通道独立轮询任意选中的信号源，支持多通道并发轮询；</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16.▲支持资源权限划分，即不同的用户可配置不同的信号源和大屏控制权限；</w:t>
      </w:r>
      <w:r>
        <w:rPr>
          <w:rFonts w:hint="eastAsia" w:ascii="宋体" w:hAnsi="宋体"/>
          <w:color w:val="auto"/>
          <w:sz w:val="24"/>
          <w:highlight w:val="none"/>
          <w:lang w:eastAsia="zh-CN"/>
        </w:rPr>
        <w:t xml:space="preserve">（</w:t>
      </w:r>
      <w:r>
        <w:rPr>
          <w:rFonts w:hint="eastAsia" w:ascii="宋体" w:hAnsi="宋体"/>
          <w:b/>
          <w:bCs/>
          <w:color w:val="auto"/>
          <w:sz w:val="24"/>
          <w:highlight w:val="none"/>
        </w:rPr>
        <w:t xml:space="preserve">需提供第三方权威机构出具的检测报告扫描件</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17.▲支持实时画面实时预览；支持坐席OSD菜单信号源可视化，支持并发不少于8路视频预监，支持音频预监；</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18.▲支持通过VISCA协议、PELCO协议控制会议摄像机；支持H.323、SIP协议，与视频会议系统进行对接；</w:t>
      </w:r>
      <w:r>
        <w:rPr>
          <w:rFonts w:hint="eastAsia" w:ascii="宋体" w:hAnsi="宋体"/>
          <w:color w:val="auto"/>
          <w:sz w:val="24"/>
          <w:highlight w:val="none"/>
          <w:lang w:eastAsia="zh-CN"/>
        </w:rPr>
        <w:t xml:space="preserve">（</w:t>
      </w:r>
      <w:r>
        <w:rPr>
          <w:rFonts w:hint="eastAsia" w:ascii="宋体" w:hAnsi="宋体"/>
          <w:b/>
          <w:bCs/>
          <w:color w:val="auto"/>
          <w:sz w:val="24"/>
          <w:highlight w:val="none"/>
        </w:rPr>
        <w:t xml:space="preserve">需提供第三方权威机构出具的检测报告扫描件</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19.支持鹰眼定位，在对超大屏幕进行布局时，可放大页面并精准定位。</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20.支持坐席配置指挥中心席位部署图，可按照坐席物理位置，等比例显示席位部署图，支持OSD菜单等比例展示席位部署图，可在OSD菜单中图形化展示各个坐席位置。</w:t>
      </w:r>
      <w:r/>
    </w:p>
    <w:p>
      <w:pPr>
        <w:ind w:firstLine="480"/>
        <w:spacing w:line="400" w:lineRule="exact"/>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21.支持坐席信号跟随，本端坐席可跟随其他坐席用户任意一个显示器的实时画面，高权限用户跟随低权限用户时，低权限用户无感知</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lang w:eastAsia="zh-CN"/>
        </w:rPr>
      </w:pPr>
      <w:r>
        <w:rPr>
          <w:rFonts w:hint="eastAsia" w:ascii="宋体" w:hAnsi="宋体"/>
          <w:color w:val="auto"/>
          <w:sz w:val="24"/>
          <w:highlight w:val="none"/>
        </w:rPr>
        <w:t xml:space="preserve">22.具备开放拼控微服务功能，可供江阴市公安局的融合通信系统调用显控所接入资源及所管理屏幕</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bookmarkEnd w:id="24"/>
      <w:r/>
      <w:bookmarkEnd w:id="25"/>
      <w:r/>
      <w:r/>
    </w:p>
    <w:p>
      <w:pPr>
        <w:pStyle w:val="864"/>
        <w:keepLines/>
        <w:keepNext/>
        <w:pageBreakBefore w:val="0"/>
        <w:spacing w:before="0" w:after="0" w:line="400" w:lineRule="exact"/>
        <w:widowControl w:val="off"/>
        <w:rPr>
          <w:rFonts w:hint="eastAsia" w:ascii="宋体" w:hAnsi="宋体"/>
          <w:color w:val="auto"/>
          <w:sz w:val="24"/>
          <w:szCs w:val="24"/>
          <w:highlight w:val="none"/>
        </w:rPr>
      </w:pPr>
      <w:r/>
      <w:bookmarkStart w:id="26" w:name="OLE_LINK54"/>
      <w:r>
        <w:rPr>
          <w:rFonts w:hint="eastAsia" w:ascii="宋体" w:hAnsi="宋体"/>
          <w:color w:val="auto"/>
          <w:sz w:val="24"/>
          <w:szCs w:val="24"/>
          <w:highlight w:val="none"/>
          <w:lang w:val="en-US" w:eastAsia="zh-CN"/>
        </w:rPr>
        <w:t xml:space="preserve">6.2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 </w:t>
      </w:r>
      <w:r>
        <w:rPr>
          <w:rFonts w:hint="eastAsia" w:ascii="宋体" w:hAnsi="宋体"/>
          <w:color w:val="auto"/>
          <w:sz w:val="24"/>
          <w:szCs w:val="24"/>
          <w:highlight w:val="none"/>
        </w:rPr>
        <w:t xml:space="preserve">高清视频会议终端（2台）</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1.采用硬件分体式结构,嵌入式操作系统，非PC架构、非工控机架构。</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2.会议速率支持128Kbps—8Mbps。</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3.支持ITU-T H.323和IETF SIP通信标准。</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4.支持H.263、H.264、H.264 High Profile等视频编解码协议。</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5.支持G.711、G.722、G.728、G.722.1AnnexC、G.719、MPEG4-AAC LC/LD等音频协议，可达到20KHz以上的宽频效果。</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6.支持1080p60、1080p30、720p60高清视频编解码，并向下兼容4CIF、CIF标清图像格式。</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7.提供不少于4路独立的高清视频输入接口、4路高清输出接口，其中需包含1路3G-SDI高清输入和输出接口；提供1路独立的标清视频输入/输出接口；所有接口不得采用私有非标接口或转接线缆实现。</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8.提供不少于4路音频输入接口，4路音频输出接口，支持模拟卡侬麦克风、数字麦克风音频输入接口。</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9.支持1个RJ11电话接口，支持空闲或会议中电话接入。</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10.系统具有字幕叠加功能，可通过终端控制系统在本地图像上不同位置设置叠加中文会场名、横幅、滚动字幕。</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11.支持在终端控制软件对本地和远端会场图像进行实时监控及预览。</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12.终端在空闲状态下，与外置的数字录像点播服务器配合，支持终端点播功能</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r>
      <w:r/>
    </w:p>
    <w:p>
      <w:pPr>
        <w:pStyle w:val="864"/>
        <w:keepLines/>
        <w:keepNext/>
        <w:pageBreakBefore w:val="0"/>
        <w:spacing w:before="0" w:after="0"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 </w:t>
      </w:r>
      <w:r>
        <w:rPr>
          <w:rFonts w:hint="eastAsia" w:ascii="宋体" w:hAnsi="宋体"/>
          <w:color w:val="auto"/>
          <w:sz w:val="24"/>
          <w:szCs w:val="24"/>
          <w:highlight w:val="none"/>
        </w:rPr>
        <w:t xml:space="preserve">会议音频系统主机</w:t>
      </w:r>
      <w:bookmarkEnd w:id="26"/>
      <w:r/>
      <w:r/>
    </w:p>
    <w:p>
      <w:pPr>
        <w:ind w:firstLine="480"/>
        <w:spacing w:line="400" w:lineRule="exact"/>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设备需与江阴公安第二会议室现用会议主机的接口协议、通信标准及兼容性参数保持一致；</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2.支持≥4096台有线会议单元和≥300台无线会议单元同时接入管理使用；支持≥4396台会议单元同时参与会议议程（签到、表决、服务等）以及发言控制。</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3.主机兼容同时连接有线与无线会议单元，二者可并行使用；采用跨域音频同步技术，有线与无线会议单元音频的音频无缝混音输出。</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4.设备采用分段压缩混音处理技术和时钟同步传输技术，会议单元拾音到主机输出延时≤5ms。</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5.设备具有≥1个USB接口；后面板具有≥2路RS-232接口、≥1路RS-485接口、≥4路RJ45通讯接口；具有≥1路RCA输入、≥1路卡侬输入、≥2路凤凰端子输入接口；≥1路RCA输出、≥1路卡侬输出、≥16路凤凰端子输出接口；≥1个拨码开关、≥1个接地柱。</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6.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7.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8.主机具有≥16通道音频分组输出接口；采用会议分区相控技术，可拆分≥16个独立的会议系统使用，也可以组成一个大型的会议系统使用，实现多种方式的会议室合并/拆分。</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9.支持主机U盘和客户端软件两种录音方式；搭配会议话筒和录音盒可以录制单个会议单元发言音频和录制所有会议单元混音发言音频。</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10.支持搭配会议话筒处理器5使用，主机与话筒处理器之间通过网线连接方式传输音频，可以同时传输≥16路有线会议单元和≥8路无线会议单元发言的音频信号，并提供反馈抑制、智能混音以及自动增益音频调节处理功能。</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11.WEB管理端具有切换个性化主题风格功能，可切换≥4种风格，可选简约主题、政务主题、时尚主题、活力主题，不同主题提供不同UI界面背景颜色。</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12.超大数据处理能力：系统支持≥24台会议单元同时发言，其中支持≥16台有线会议单元和≥8台无线会议单元同时发言；具有自定义会议单元发言人数功能，有线会议单元发言人数范围可设置为等同或优于1至16之间的任意数量；无线会议单元发言人数范围可设置为等同或优于1至8之间的任意数量。</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13.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14.采用会议系统多环路检测及网络补给技术，实现会议单元手拉手链路出现故障时快速恢复，环路恢复时间≤5ms。</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15.</w:t>
      </w:r>
      <w:r>
        <w:rPr>
          <w:rFonts w:hint="eastAsia" w:ascii="宋体" w:hAnsi="宋体" w:eastAsia="宋体"/>
          <w:color w:val="auto"/>
          <w:sz w:val="24"/>
          <w:highlight w:val="none"/>
        </w:rPr>
        <w:t xml:space="preserve">▲具</w:t>
      </w:r>
      <w:r>
        <w:rPr>
          <w:rFonts w:hint="eastAsia" w:ascii="宋体" w:hAnsi="宋体"/>
          <w:color w:val="auto"/>
          <w:sz w:val="24"/>
          <w:highlight w:val="none"/>
        </w:rPr>
        <w:t xml:space="preserve">有C/S、B/S管控架构，包括客户端</w:t>
      </w:r>
      <w:r>
        <w:rPr>
          <w:rFonts w:hint="eastAsia" w:ascii="宋体" w:hAnsi="宋体"/>
          <w:color w:val="auto"/>
          <w:sz w:val="24"/>
          <w:highlight w:val="none"/>
        </w:rPr>
        <w:t xml:space="preserve">、WEB端、本机全彩触摸屏、安卓手机/平板控制方式；通过客户端、WEB端可调节音频矩阵参数（包括EQ、音量、延时器、会议单元灵敏度等）、≥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w:t>
      </w:r>
      <w:r>
        <w:rPr>
          <w:rFonts w:hint="eastAsia" w:ascii="宋体" w:hAnsi="宋体"/>
          <w:color w:val="auto"/>
          <w:sz w:val="24"/>
          <w:highlight w:val="none"/>
          <w:lang w:eastAsia="zh-CN"/>
        </w:rPr>
        <w:t xml:space="preserve">（</w:t>
      </w:r>
      <w:r>
        <w:rPr>
          <w:rFonts w:hint="eastAsia" w:ascii="宋体" w:hAnsi="宋体"/>
          <w:b/>
          <w:bCs/>
          <w:color w:val="auto"/>
          <w:sz w:val="24"/>
          <w:highlight w:val="none"/>
        </w:rPr>
        <w:t xml:space="preserve">需提供第三方权威机构出具的检测报告扫描件</w:t>
      </w:r>
      <w:r>
        <w:rPr>
          <w:rFonts w:hint="eastAsia" w:ascii="宋体" w:hAnsi="宋体"/>
          <w:color w:val="auto"/>
          <w:sz w:val="24"/>
          <w:highlight w:val="none"/>
          <w:lang w:eastAsia="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16.具有C/S、B/S架构管理软件，客户端、WEB端软件均可运行的操作系统版本≥8种，包括Windows7/10/11、银河麒麟桌面操作系统（兆芯版）、银河麒麟桌面操作系统（飞腾版）、macOS系统、统信UOS、Ubuntu桌面版操作系统。</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17.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18.出于信息安全考虑，要求投标的数字会议系统（或讯笛数字会议系统软件、全数字会议系统软件等具有相同功能的软件）需通过信息系统安全等级（二级或以上）保护备案，</w:t>
      </w:r>
      <w:r>
        <w:rPr>
          <w:rFonts w:hint="eastAsia" w:ascii="宋体" w:hAnsi="宋体"/>
          <w:b/>
          <w:bCs/>
          <w:color w:val="auto"/>
          <w:sz w:val="24"/>
          <w:highlight w:val="none"/>
        </w:rPr>
        <w:t xml:space="preserve">提供公安机关出具的备案证明</w:t>
      </w:r>
      <w:r>
        <w:rPr>
          <w:rFonts w:hint="eastAsia" w:ascii="宋体" w:hAnsi="宋体"/>
          <w:b/>
          <w:bCs/>
          <w:color w:val="auto"/>
          <w:sz w:val="24"/>
          <w:highlight w:val="none"/>
          <w:lang w:val="en-US" w:eastAsia="zh-CN"/>
        </w:rPr>
        <w:t xml:space="preserve">扫描件</w:t>
      </w:r>
      <w:r>
        <w:rPr>
          <w:rFonts w:hint="eastAsia" w:ascii="宋体" w:hAnsi="宋体"/>
          <w:color w:val="auto"/>
          <w:sz w:val="24"/>
          <w:highlight w:val="none"/>
        </w:rPr>
        <w:t xml:space="preserve">。</w:t>
      </w:r>
      <w:r/>
    </w:p>
    <w:p>
      <w:pPr>
        <w:ind w:firstLine="480"/>
        <w:spacing w:line="400" w:lineRule="exact"/>
        <w:rPr>
          <w:rFonts w:hint="eastAsia" w:ascii="宋体" w:hAnsi="宋体"/>
          <w:color w:val="auto"/>
          <w:sz w:val="24"/>
          <w:highlight w:val="none"/>
          <w:lang w:eastAsia="zh-CN"/>
        </w:rPr>
      </w:pPr>
      <w:r>
        <w:rPr>
          <w:rFonts w:hint="eastAsia" w:ascii="宋体" w:hAnsi="宋体"/>
          <w:color w:val="auto"/>
          <w:sz w:val="24"/>
          <w:highlight w:val="none"/>
        </w:rPr>
        <w:t xml:space="preserve">19.会议主机可受全数字会议系统综合控制软件的控制，实现会议室布局（至少包括添加、扫描和管理多台单元；EQ调节；自动增益、自动混音参数配置；灵敏度设置）、话筒管理（至少包括查看会议单元发言最大数量；自定义单元发言人数；设置话筒模式；签到；自定义表决形式；摄像、语言跟踪）、会议室可视化布局管理（至少包括模拟排位；自动排位；在线编辑单元编号）、会议议程（至少包括投票参数设置、投票结果实时投屏展示；译员机语种选择和设置；电子铭牌设置）等功能。</w:t>
      </w:r>
      <w:r/>
    </w:p>
    <w:p>
      <w:pPr>
        <w:ind w:firstLine="480"/>
        <w:spacing w:line="400" w:lineRule="exact"/>
        <w:rPr>
          <w:rFonts w:hint="eastAsia" w:ascii="宋体" w:hAnsi="宋体"/>
          <w:color w:val="auto"/>
          <w:sz w:val="24"/>
          <w:highlight w:val="none"/>
          <w:lang w:eastAsia="zh-CN"/>
        </w:rPr>
      </w:pPr>
      <w:r>
        <w:rPr>
          <w:rFonts w:hint="eastAsia" w:ascii="宋体" w:hAnsi="宋体"/>
          <w:color w:val="auto"/>
          <w:sz w:val="24"/>
          <w:highlight w:val="none"/>
          <w:lang w:eastAsia="zh-CN"/>
        </w:rPr>
      </w:r>
      <w:r/>
    </w:p>
    <w:p>
      <w:pPr>
        <w:pStyle w:val="864"/>
        <w:keepLines/>
        <w:keepNext/>
        <w:pageBreakBefore w:val="0"/>
        <w:spacing w:before="0" w:after="0"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智能全景球</w:t>
      </w:r>
      <w:r/>
    </w:p>
    <w:p>
      <w:pPr>
        <w:ind w:firstLine="480"/>
        <w:spacing w:line="400" w:lineRule="exact"/>
        <w:rPr>
          <w:rFonts w:hint="eastAsia" w:ascii="宋体" w:hAnsi="宋体"/>
          <w:sz w:val="24"/>
          <w:highlight w:val="none"/>
        </w:rPr>
      </w:pPr>
      <w:r>
        <w:rPr>
          <w:rFonts w:hint="eastAsia" w:ascii="宋体" w:hAnsi="宋体"/>
          <w:sz w:val="24"/>
          <w:highlight w:val="none"/>
        </w:rPr>
        <w:t xml:space="preserve">1.★支持防频闪功能，搭载宽动态技术，有效抑制因人工光源（如荧光灯、LED灯、显示屏）与摄像机快门频率不同步导致的图像闪烁和条纹现象。</w:t>
      </w:r>
      <w:r/>
    </w:p>
    <w:p>
      <w:pPr>
        <w:ind w:firstLine="480"/>
        <w:spacing w:line="400" w:lineRule="exact"/>
        <w:rPr>
          <w:rFonts w:hint="eastAsia" w:ascii="宋体" w:hAnsi="宋体" w:eastAsiaTheme="minorEastAsia"/>
          <w:sz w:val="24"/>
          <w:highlight w:val="none"/>
          <w:lang w:eastAsia="zh-CN"/>
        </w:rPr>
      </w:pPr>
      <w:r>
        <w:rPr>
          <w:rFonts w:hint="eastAsia" w:ascii="宋体" w:hAnsi="宋体"/>
          <w:sz w:val="24"/>
          <w:highlight w:val="none"/>
        </w:rPr>
        <w:t xml:space="preserve">2.★1/2.8英寸800万像素CMOS</w:t>
      </w:r>
      <w:r>
        <w:rPr>
          <w:rFonts w:hint="eastAsia" w:ascii="宋体" w:hAnsi="宋体"/>
          <w:sz w:val="24"/>
          <w:highlight w:val="none"/>
          <w:lang w:eastAsia="zh-CN"/>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3.接口要求不少于：1个音频输入接口、1个音频输出接口、1个RS485接口、2路报警输入接口，1路报警输出接口、1个TF卡槽、1个复位按钮、内置MIC</w:t>
      </w:r>
      <w:r>
        <w:rPr>
          <w:rFonts w:hint="eastAsia" w:ascii="宋体" w:hAnsi="宋体"/>
          <w:sz w:val="24"/>
          <w:highlight w:val="none"/>
          <w:lang w:eastAsia="zh-CN"/>
        </w:rPr>
        <w:t xml:space="preserve">；</w:t>
      </w:r>
      <w:r/>
    </w:p>
    <w:p>
      <w:pPr>
        <w:ind w:firstLine="480"/>
        <w:spacing w:line="400" w:lineRule="exact"/>
        <w:rPr>
          <w:rFonts w:hint="eastAsia" w:ascii="宋体" w:hAnsi="宋体" w:eastAsiaTheme="minorEastAsia"/>
          <w:sz w:val="24"/>
          <w:highlight w:val="none"/>
          <w:lang w:eastAsia="zh-CN"/>
        </w:rPr>
      </w:pPr>
      <w:r>
        <w:rPr>
          <w:rFonts w:hint="eastAsia" w:ascii="宋体" w:hAnsi="宋体"/>
          <w:sz w:val="24"/>
          <w:highlight w:val="none"/>
        </w:rPr>
        <w:t xml:space="preserve">4.支持H.265、H.264（MP/HP/BP）、M-JPEG等视频编码标准和AAC、G.711A、G.711U、ADPCM等音频编码标准，TF卡支持不少于512G</w:t>
      </w:r>
      <w:r>
        <w:rPr>
          <w:rFonts w:hint="eastAsia" w:ascii="宋体" w:hAnsi="宋体"/>
          <w:sz w:val="24"/>
          <w:highlight w:val="none"/>
          <w:lang w:eastAsia="zh-CN"/>
        </w:rPr>
        <w:t xml:space="preserve">；</w:t>
      </w:r>
      <w:r/>
    </w:p>
    <w:p>
      <w:pPr>
        <w:ind w:firstLine="480"/>
        <w:spacing w:line="400" w:lineRule="exact"/>
        <w:rPr>
          <w:rFonts w:hint="eastAsia" w:ascii="宋体" w:hAnsi="宋体" w:eastAsiaTheme="minorEastAsia"/>
          <w:sz w:val="24"/>
          <w:highlight w:val="none"/>
          <w:lang w:eastAsia="zh-CN"/>
        </w:rPr>
      </w:pPr>
      <w:r>
        <w:rPr>
          <w:rFonts w:hint="eastAsia" w:ascii="宋体" w:hAnsi="宋体"/>
          <w:sz w:val="24"/>
          <w:highlight w:val="none"/>
        </w:rPr>
        <w:t xml:space="preserve">5.分辨率不低于800万，HDBaseT分辨率及帧率不低于1080P，50fps；HDbaset接口1080P以下分辨率至少支持60帧（倍帧）；HDBaseT默认分辨率及帧率不低于3840x2160，HDBaseT接口至少支持1路,集合视频信号、音频、网路、控制、电源五合一</w:t>
      </w:r>
      <w:r>
        <w:rPr>
          <w:rFonts w:hint="eastAsia" w:ascii="宋体" w:hAnsi="宋体"/>
          <w:sz w:val="24"/>
          <w:highlight w:val="none"/>
          <w:lang w:eastAsia="zh-CN"/>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6.水平旋转范围不低于350°，垂直旋转范围不低于0°～90°；</w:t>
      </w:r>
      <w:r/>
    </w:p>
    <w:p>
      <w:pPr>
        <w:ind w:firstLine="480"/>
        <w:spacing w:line="400" w:lineRule="exact"/>
        <w:rPr>
          <w:rFonts w:hint="eastAsia" w:ascii="宋体" w:hAnsi="宋体"/>
          <w:sz w:val="24"/>
          <w:highlight w:val="none"/>
        </w:rPr>
      </w:pPr>
      <w:r>
        <w:rPr>
          <w:rFonts w:hint="eastAsia" w:ascii="宋体" w:hAnsi="宋体"/>
          <w:sz w:val="24"/>
          <w:highlight w:val="none"/>
        </w:rPr>
        <w:t xml:space="preserve">7.支持音频异常侦测、视频丢失报警、磁盘满、IP地址冲突、FTP服务器异常报警功能；8.支持设置不少于8块感兴趣区域；</w:t>
      </w:r>
      <w:r/>
    </w:p>
    <w:p>
      <w:pPr>
        <w:ind w:firstLine="480"/>
        <w:spacing w:line="400" w:lineRule="exact"/>
        <w:rPr>
          <w:rFonts w:hint="eastAsia" w:ascii="宋体" w:hAnsi="宋体" w:eastAsiaTheme="minorEastAsia"/>
          <w:sz w:val="24"/>
          <w:highlight w:val="none"/>
          <w:lang w:eastAsia="zh-CN"/>
        </w:rPr>
      </w:pPr>
      <w:r>
        <w:rPr>
          <w:rFonts w:hint="eastAsia" w:ascii="宋体" w:hAnsi="宋体"/>
          <w:sz w:val="24"/>
          <w:highlight w:val="none"/>
        </w:rPr>
        <w:t xml:space="preserve">9.支持设置黑白名单，支持温湿度异常报警，支持GB35114-A级</w:t>
      </w:r>
      <w:r>
        <w:rPr>
          <w:rFonts w:hint="eastAsia" w:ascii="宋体" w:hAnsi="宋体"/>
          <w:sz w:val="24"/>
          <w:highlight w:val="none"/>
          <w:lang w:eastAsia="zh-CN"/>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10.支持字符显示，并支持自定义字符颜色；</w:t>
      </w:r>
      <w:r/>
    </w:p>
    <w:p>
      <w:pPr>
        <w:ind w:firstLine="480"/>
        <w:spacing w:line="400" w:lineRule="exact"/>
        <w:rPr>
          <w:rFonts w:hint="eastAsia" w:ascii="宋体" w:hAnsi="宋体"/>
          <w:sz w:val="24"/>
          <w:highlight w:val="none"/>
        </w:rPr>
      </w:pPr>
      <w:r>
        <w:rPr>
          <w:rFonts w:hint="eastAsia" w:ascii="宋体" w:hAnsi="宋体"/>
          <w:sz w:val="24"/>
          <w:highlight w:val="none"/>
        </w:rPr>
        <w:t xml:space="preserve">11.支持通过浏览器发起单向语音广播；</w:t>
      </w:r>
      <w:r/>
    </w:p>
    <w:p>
      <w:pPr>
        <w:ind w:firstLine="480"/>
        <w:spacing w:line="400" w:lineRule="exact"/>
        <w:rPr>
          <w:rFonts w:hint="eastAsia" w:ascii="宋体" w:hAnsi="宋体"/>
          <w:sz w:val="24"/>
          <w:highlight w:val="none"/>
        </w:rPr>
      </w:pPr>
      <w:r>
        <w:rPr>
          <w:rFonts w:hint="eastAsia" w:ascii="宋体" w:hAnsi="宋体"/>
          <w:sz w:val="24"/>
          <w:highlight w:val="none"/>
        </w:rPr>
        <w:t xml:space="preserve">12.支持绊线、双绊线、周界、物品遗留、物品丢失、徘徊、奔跑、人数统计、人群聚集、值岗检测等智能算法；</w:t>
      </w:r>
      <w:r/>
    </w:p>
    <w:p>
      <w:pPr>
        <w:ind w:firstLine="480"/>
        <w:spacing w:line="400" w:lineRule="exact"/>
        <w:rPr>
          <w:rFonts w:hint="eastAsia" w:ascii="宋体" w:hAnsi="宋体"/>
          <w:sz w:val="24"/>
          <w:highlight w:val="none"/>
        </w:rPr>
      </w:pPr>
      <w:r>
        <w:rPr>
          <w:rFonts w:hint="eastAsia" w:ascii="宋体" w:hAnsi="宋体"/>
          <w:sz w:val="24"/>
          <w:highlight w:val="none"/>
        </w:rPr>
        <w:t xml:space="preserve">13.摄像机检测到警戒区域有人员出现时，自动抓拍、录像，并进行语音警示。</w:t>
      </w:r>
      <w:r/>
    </w:p>
    <w:p>
      <w:pPr>
        <w:spacing w:line="400" w:lineRule="exact"/>
        <w:rPr>
          <w:rFonts w:ascii="宋体" w:hAnsi="宋体" w:eastAsia="宋体" w:cs="宋体"/>
          <w:b/>
          <w:bCs/>
          <w:sz w:val="24"/>
          <w:szCs w:val="24"/>
          <w:highlight w:val="none"/>
        </w:rPr>
      </w:pPr>
      <w:r>
        <w:rPr>
          <w:rFonts w:ascii="宋体" w:hAnsi="宋体" w:eastAsia="宋体" w:cs="宋体"/>
          <w:b/>
          <w:bCs/>
          <w:sz w:val="24"/>
          <w:szCs w:val="24"/>
          <w:highlight w:val="none"/>
        </w:rPr>
      </w:r>
      <w:r/>
    </w:p>
    <w:p>
      <w:pPr>
        <w:spacing w:line="4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备注：</w:t>
      </w:r>
      <w:r/>
    </w:p>
    <w:p>
      <w:pPr>
        <w:ind w:firstLine="480"/>
        <w:keepLines w:val="0"/>
        <w:keepNext w:val="0"/>
        <w:pageBreakBefore w:val="0"/>
        <w:spacing w:line="400" w:lineRule="exact"/>
        <w:widowControl w:val="off"/>
        <w:rPr>
          <w:rFonts w:hint="eastAsia" w:ascii="宋体" w:hAnsi="宋体"/>
          <w:b/>
          <w:bCs/>
          <w:sz w:val="24"/>
          <w:highlight w:val="none"/>
        </w:rPr>
        <w:outlineLvl w:val="1"/>
      </w:pPr>
      <w:r>
        <w:rPr>
          <w:rFonts w:hint="eastAsia" w:ascii="宋体" w:hAnsi="宋体"/>
          <w:b w:val="0"/>
          <w:bCs w:val="0"/>
          <w:sz w:val="24"/>
          <w:highlight w:val="none"/>
        </w:rPr>
        <w:t xml:space="preserve">1</w:t>
      </w:r>
      <w:r>
        <w:rPr>
          <w:rFonts w:hint="eastAsia" w:ascii="宋体" w:hAnsi="宋体"/>
          <w:b w:val="0"/>
          <w:bCs w:val="0"/>
          <w:sz w:val="24"/>
          <w:highlight w:val="none"/>
          <w:lang w:val="en-US" w:eastAsia="zh-CN"/>
        </w:rPr>
        <w:t xml:space="preserve">.</w:t>
      </w:r>
      <w:r>
        <w:rPr>
          <w:rFonts w:hint="eastAsia" w:ascii="宋体" w:hAnsi="宋体"/>
          <w:b/>
          <w:bCs/>
          <w:sz w:val="24"/>
          <w:highlight w:val="none"/>
        </w:rPr>
        <w:t xml:space="preserve">本项目核心产品为：P1.25小间距LED屏</w:t>
      </w:r>
      <w:r/>
    </w:p>
    <w:p>
      <w:pPr>
        <w:ind w:firstLine="480"/>
        <w:keepLines w:val="0"/>
        <w:keepNext w:val="0"/>
        <w:pageBreakBefore w:val="0"/>
        <w:spacing w:line="400" w:lineRule="exact"/>
        <w:widowControl w:val="off"/>
        <w:rPr>
          <w:rFonts w:hint="eastAsia" w:ascii="宋体" w:hAnsi="宋体"/>
          <w:b w:val="0"/>
          <w:bCs w:val="0"/>
          <w:sz w:val="24"/>
          <w:highlight w:val="none"/>
        </w:rPr>
      </w:pPr>
      <w:r>
        <w:rPr>
          <w:rFonts w:hint="eastAsia" w:ascii="宋体" w:hAnsi="宋体"/>
          <w:b w:val="0"/>
          <w:bCs w:val="0"/>
          <w:sz w:val="24"/>
          <w:highlight w:val="none"/>
        </w:rPr>
        <w:t xml:space="preserve">通过资格审查、符合性审查的多家投标人提供的核心产品品牌相同的，按一家投标人计算,评审后得分最高的同品牌投标人获得中标人推荐资格；评审得分相同的，由采购人或者采购人委托评标委员会按照招标文件规定的方式确定一个投标人获得中标人推荐资格。</w:t>
      </w:r>
      <w:r/>
    </w:p>
    <w:p>
      <w:pPr>
        <w:numPr>
          <w:ilvl w:val="0"/>
          <w:numId w:val="0"/>
        </w:numPr>
        <w:ind w:firstLine="420"/>
        <w:keepLines w:val="0"/>
        <w:keepNext w:val="0"/>
        <w:pageBreakBefore w:val="0"/>
        <w:spacing w:line="400" w:lineRule="exact"/>
        <w:widowControl w:val="off"/>
        <w:rPr>
          <w:rFonts w:hint="eastAsia" w:ascii="宋体" w:hAnsi="宋体"/>
          <w:b w:val="0"/>
          <w:bCs w:val="0"/>
          <w:sz w:val="24"/>
          <w:highlight w:val="none"/>
        </w:rPr>
      </w:pPr>
      <w:r>
        <w:rPr>
          <w:rFonts w:hint="eastAsia" w:ascii="宋体" w:hAnsi="宋体"/>
          <w:b w:val="0"/>
          <w:bCs w:val="0"/>
          <w:sz w:val="24"/>
          <w:highlight w:val="none"/>
          <w:lang w:val="en-US" w:eastAsia="zh-CN"/>
        </w:rPr>
        <w:t xml:space="preserve">2.</w:t>
      </w:r>
      <w:r>
        <w:rPr>
          <w:rFonts w:hint="eastAsia" w:ascii="宋体" w:hAnsi="宋体"/>
          <w:b w:val="0"/>
          <w:bCs w:val="0"/>
          <w:sz w:val="24"/>
          <w:highlight w:val="none"/>
        </w:rPr>
        <w:t xml:space="preserve">其中打“★”项为实质性要求，有一项负偏离将作为无效投标；打“▲”项为重要指标项。</w:t>
      </w:r>
      <w:r/>
    </w:p>
    <w:p>
      <w:pPr>
        <w:numPr>
          <w:ilvl w:val="0"/>
          <w:numId w:val="0"/>
        </w:numPr>
        <w:ind w:firstLine="420"/>
        <w:keepLines w:val="0"/>
        <w:keepNext w:val="0"/>
        <w:pageBreakBefore w:val="0"/>
        <w:spacing w:line="400" w:lineRule="exact"/>
        <w:widowControl w:val="off"/>
        <w:rPr>
          <w:rFonts w:hint="eastAsia" w:ascii="宋体" w:hAnsi="宋体"/>
          <w:b w:val="0"/>
          <w:bCs w:val="0"/>
          <w:sz w:val="24"/>
          <w:highlight w:val="none"/>
        </w:rPr>
      </w:pPr>
      <w:r>
        <w:rPr>
          <w:rFonts w:hint="eastAsia" w:ascii="宋体" w:hAnsi="宋体"/>
          <w:b w:val="0"/>
          <w:bCs w:val="0"/>
          <w:sz w:val="24"/>
          <w:highlight w:val="none"/>
          <w:lang w:val="en-US" w:eastAsia="zh-CN"/>
        </w:rPr>
        <w:t xml:space="preserve">3.</w:t>
      </w:r>
      <w:r>
        <w:rPr>
          <w:rFonts w:hint="eastAsia" w:ascii="宋体" w:hAnsi="宋体"/>
          <w:b w:val="0"/>
          <w:bCs w:val="0"/>
          <w:sz w:val="24"/>
          <w:highlight w:val="none"/>
        </w:rPr>
        <w:t xml:space="preserve">交货前，采购人将不定期随机抽取预供货产品交由权威检测部门进行详细检测，若检测结果没有达到中标单位投标文件中承诺的技术要求，那么所产生的一切经济损失、后果和法律责任均由中标单位全部承担。</w:t>
      </w:r>
      <w:r/>
    </w:p>
    <w:p>
      <w:pPr>
        <w:numPr>
          <w:ilvl w:val="0"/>
          <w:numId w:val="0"/>
        </w:numPr>
        <w:keepLines w:val="0"/>
        <w:keepNext w:val="0"/>
        <w:pageBreakBefore w:val="0"/>
        <w:spacing w:line="400" w:lineRule="exact"/>
        <w:widowControl w:val="off"/>
        <w:rPr>
          <w:rFonts w:hint="eastAsia" w:ascii="宋体" w:hAnsi="宋体"/>
          <w:b w:val="0"/>
          <w:bCs w:val="0"/>
          <w:sz w:val="24"/>
          <w:highlight w:val="none"/>
        </w:rPr>
      </w:pPr>
      <w:r>
        <w:rPr>
          <w:rFonts w:hint="eastAsia" w:ascii="宋体" w:hAnsi="宋体"/>
          <w:b w:val="0"/>
          <w:bCs w:val="0"/>
          <w:sz w:val="24"/>
          <w:highlight w:val="none"/>
        </w:rPr>
      </w:r>
      <w:r/>
    </w:p>
    <w:p>
      <w:pPr>
        <w:spacing w:line="4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lang w:val="en-US" w:eastAsia="zh-CN"/>
        </w:rPr>
        <w:t xml:space="preserve">七</w:t>
      </w:r>
      <w:r>
        <w:rPr>
          <w:rFonts w:ascii="黑体" w:hAnsi="黑体" w:eastAsia="黑体"/>
          <w:color w:val="auto"/>
          <w:sz w:val="28"/>
          <w:szCs w:val="28"/>
          <w:highlight w:val="none"/>
        </w:rPr>
        <w:t xml:space="preserve">、</w:t>
      </w:r>
      <w:r>
        <w:rPr>
          <w:rFonts w:hint="eastAsia" w:ascii="黑体" w:hAnsi="黑体" w:eastAsia="黑体"/>
          <w:color w:val="auto"/>
          <w:sz w:val="28"/>
          <w:szCs w:val="28"/>
          <w:highlight w:val="none"/>
        </w:rPr>
        <w:t xml:space="preserve">项目实施</w:t>
      </w:r>
      <w:r>
        <w:rPr>
          <w:rFonts w:hint="eastAsia" w:ascii="黑体" w:hAnsi="黑体" w:eastAsia="黑体"/>
          <w:color w:val="auto"/>
          <w:sz w:val="28"/>
          <w:szCs w:val="28"/>
          <w:highlight w:val="none"/>
          <w:lang w:val="en-US" w:eastAsia="zh-CN"/>
        </w:rPr>
        <w:t xml:space="preserve">要求</w:t>
      </w:r>
      <w:r>
        <w:rPr>
          <w:rFonts w:hint="eastAsia" w:ascii="黑体" w:hAnsi="黑体" w:eastAsia="黑体"/>
          <w:color w:val="auto"/>
          <w:sz w:val="28"/>
          <w:szCs w:val="28"/>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项目实施地点：江阴市澄江中路110号。</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w:t>
      </w:r>
      <w:r>
        <w:rPr>
          <w:rFonts w:hint="eastAsia" w:ascii="宋体" w:hAnsi="宋体" w:cs="宋体"/>
          <w:color w:val="auto"/>
          <w:sz w:val="24"/>
          <w:highlight w:val="none"/>
        </w:rPr>
        <w:t xml:space="preserve">项目实施时间：合同签订后90天内完成交货及安装调试。</w:t>
      </w:r>
      <w:r/>
    </w:p>
    <w:p>
      <w:pPr>
        <w:ind w:firstLine="480"/>
        <w:spacing w:line="400" w:lineRule="exact"/>
        <w:rPr>
          <w:rFonts w:hint="eastAsia" w:ascii="宋体" w:hAnsi="宋体"/>
          <w:sz w:val="24"/>
          <w:highlight w:val="none"/>
          <w:lang w:val="en-US" w:eastAsia="zh-CN"/>
        </w:rPr>
      </w:pPr>
      <w:r>
        <w:rPr>
          <w:rFonts w:hint="eastAsia" w:ascii="宋体" w:hAnsi="宋体" w:cs="宋体"/>
          <w:color w:val="auto"/>
          <w:sz w:val="24"/>
          <w:highlight w:val="none"/>
          <w:lang w:val="en-US" w:eastAsia="zh-CN"/>
        </w:rPr>
        <w:t xml:space="preserve">7.3项目实施团队：投标人需为本项目组建实施团队，团队总人数不得少于5人，其中指定一名为项目负责人负责项目实施。项目团队其他成员应包括但不限于现场技术负责人、安全技术人员、</w:t>
      </w:r>
      <w:r>
        <w:rPr>
          <w:rFonts w:hint="eastAsia" w:ascii="宋体" w:hAnsi="宋体"/>
          <w:sz w:val="24"/>
          <w:highlight w:val="none"/>
        </w:rPr>
        <w:t xml:space="preserve">系统分析人员</w:t>
      </w:r>
      <w:r>
        <w:rPr>
          <w:rFonts w:hint="eastAsia" w:ascii="宋体" w:hAnsi="宋体"/>
          <w:sz w:val="24"/>
          <w:highlight w:val="none"/>
          <w:lang w:val="en-US" w:eastAsia="zh-CN"/>
        </w:rPr>
        <w:t xml:space="preserve">等分工。</w:t>
      </w:r>
      <w:r/>
    </w:p>
    <w:p>
      <w:pPr>
        <w:numPr>
          <w:ilvl w:val="0"/>
          <w:numId w:val="0"/>
        </w:numPr>
        <w:ind w:firstLine="420"/>
        <w:spacing w:line="400" w:lineRule="exact"/>
        <w:rPr>
          <w:rFonts w:hint="eastAsia" w:ascii="宋体" w:hAnsi="宋体"/>
          <w:color w:val="auto"/>
          <w:sz w:val="24"/>
          <w:highlight w:val="none"/>
          <w:lang w:val="en-US" w:eastAsia="zh-CN"/>
        </w:rPr>
      </w:pPr>
      <w:r>
        <w:rPr>
          <w:rFonts w:hint="eastAsia" w:ascii="宋体" w:hAnsi="宋体"/>
          <w:sz w:val="24"/>
          <w:highlight w:val="none"/>
          <w:lang w:val="en-US" w:eastAsia="zh-CN"/>
        </w:rPr>
        <w:t xml:space="preserve">7.4项目实施方式：</w:t>
      </w:r>
      <w:r>
        <w:rPr>
          <w:rFonts w:hint="eastAsia" w:ascii="宋体" w:hAnsi="宋体"/>
          <w:sz w:val="24"/>
          <w:highlight w:val="none"/>
        </w:rPr>
        <w:t xml:space="preserve">LED大屏及显控系统、操作台等由原厂负责安装及试运行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其余设备由投标人负责安装及试运行。</w:t>
      </w:r>
      <w:r/>
    </w:p>
    <w:p>
      <w:pPr>
        <w:spacing w:line="400" w:lineRule="exact"/>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spacing w:line="4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售后</w:t>
      </w:r>
      <w:r>
        <w:rPr>
          <w:rFonts w:ascii="黑体" w:hAnsi="黑体" w:eastAsia="黑体"/>
          <w:color w:val="auto"/>
          <w:sz w:val="28"/>
          <w:szCs w:val="28"/>
          <w:highlight w:val="none"/>
        </w:rPr>
        <w:t xml:space="preserve">服务要求</w:t>
      </w:r>
      <w:r>
        <w:rPr>
          <w:rFonts w:hint="eastAsia" w:ascii="黑体" w:hAnsi="黑体" w:eastAsia="黑体"/>
          <w:color w:val="auto"/>
          <w:sz w:val="28"/>
          <w:szCs w:val="28"/>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为规范供应商所提供的运维服务及相关客户服务的品质，使采购人能够有效监控供应商的服务，保证所获得的服务品质，双方在服务期开始前签订服务品质协议。</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供应商在投标文件中应对以下内容进行点对点应答，并结合自身情况补充服务方案内容。</w:t>
      </w:r>
      <w:r/>
    </w:p>
    <w:p>
      <w:pPr>
        <w:pStyle w:val="864"/>
        <w:numPr>
          <w:ilvl w:val="2"/>
          <w:numId w:val="0"/>
        </w:numPr>
        <w:spacing w:before="0" w:after="0" w:line="400" w:lineRule="exact"/>
        <w:rPr>
          <w:rFonts w:hint="eastAsia" w:ascii="宋体" w:hAnsi="宋体"/>
          <w:color w:val="auto"/>
          <w:sz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产品</w:t>
      </w:r>
      <w:r>
        <w:rPr>
          <w:rFonts w:hint="eastAsia" w:ascii="宋体" w:hAnsi="宋体"/>
          <w:color w:val="auto"/>
          <w:sz w:val="24"/>
          <w:highlight w:val="none"/>
        </w:rPr>
        <w:t xml:space="preserve">质保</w:t>
      </w:r>
      <w:r/>
    </w:p>
    <w:p>
      <w:pPr>
        <w:ind w:firstLine="480"/>
        <w:spacing w:line="400" w:lineRule="exact"/>
        <w:rPr>
          <w:rFonts w:hint="eastAsia" w:ascii="宋体" w:hAnsi="宋体"/>
          <w:b/>
          <w:bCs/>
          <w:color w:val="auto"/>
          <w:sz w:val="24"/>
          <w:highlight w:val="none"/>
        </w:rPr>
      </w:pPr>
      <w:r>
        <w:rPr>
          <w:rFonts w:hint="eastAsia" w:ascii="宋体" w:hAnsi="宋体"/>
          <w:b w:val="0"/>
          <w:bCs w:val="0"/>
          <w:color w:val="auto"/>
          <w:sz w:val="24"/>
          <w:highlight w:val="none"/>
          <w:lang w:val="en-US" w:eastAsia="zh-CN"/>
        </w:rPr>
        <w:t xml:space="preserve">8.1.1</w:t>
      </w:r>
      <w:r>
        <w:rPr>
          <w:rFonts w:hint="eastAsia" w:ascii="宋体" w:hAnsi="宋体"/>
          <w:b w:val="0"/>
          <w:bCs w:val="0"/>
          <w:color w:val="auto"/>
          <w:sz w:val="24"/>
          <w:highlight w:val="none"/>
        </w:rPr>
        <w:t xml:space="preserve">本项目LED大屏、显控系统、会议系统等硬件产品五年基础维保期内须原厂直接提供售后质保。</w:t>
      </w:r>
      <w:r>
        <w:rPr>
          <w:rFonts w:hint="eastAsia" w:ascii="宋体" w:hAnsi="宋体"/>
          <w:b/>
          <w:bCs/>
          <w:color w:val="auto"/>
          <w:sz w:val="24"/>
          <w:highlight w:val="none"/>
        </w:rPr>
        <w:t xml:space="preserve">签订合同时，需提供五年原厂质保函</w:t>
      </w:r>
      <w:r>
        <w:rPr>
          <w:rFonts w:hint="eastAsia" w:ascii="宋体" w:hAnsi="宋体"/>
          <w:b w:val="0"/>
          <w:bCs w:val="0"/>
          <w:color w:val="auto"/>
          <w:sz w:val="24"/>
          <w:highlight w:val="none"/>
        </w:rPr>
        <w:t xml:space="preserve">。五年基础维保期后中标人承诺延期免费维保期间，由中标人提供售后质保。</w:t>
      </w:r>
      <w:r/>
    </w:p>
    <w:p>
      <w:pPr>
        <w:ind w:firstLine="480"/>
        <w:spacing w:line="400" w:lineRule="exact"/>
        <w:rPr>
          <w:rFonts w:hint="eastAsia" w:ascii="宋体" w:hAnsi="宋体" w:eastAsiaTheme="minorEastAsia"/>
          <w:b w:val="0"/>
          <w:bCs w:val="0"/>
          <w:color w:val="auto"/>
          <w:sz w:val="24"/>
          <w:highlight w:val="none"/>
          <w:lang w:eastAsia="zh-CN"/>
        </w:rPr>
      </w:pPr>
      <w:r>
        <w:rPr>
          <w:rFonts w:hint="eastAsia" w:ascii="宋体" w:hAnsi="宋体"/>
          <w:sz w:val="24"/>
          <w:highlight w:val="none"/>
          <w:lang w:val="en-US" w:eastAsia="zh-CN"/>
        </w:rPr>
        <w:t xml:space="preserve">8.1.2</w:t>
      </w:r>
      <w:r>
        <w:rPr>
          <w:rFonts w:hint="eastAsia" w:ascii="宋体" w:hAnsi="宋体"/>
          <w:sz w:val="24"/>
          <w:highlight w:val="none"/>
        </w:rPr>
        <w:t xml:space="preserve">大型或重要活动、系统升级维护等情况，</w:t>
      </w:r>
      <w:r>
        <w:rPr>
          <w:rFonts w:hint="eastAsia" w:ascii="宋体" w:hAnsi="宋体"/>
          <w:sz w:val="24"/>
          <w:highlight w:val="none"/>
          <w:lang w:val="en-US" w:eastAsia="zh-CN"/>
        </w:rPr>
        <w:t xml:space="preserve">显控系统制造商</w:t>
      </w:r>
      <w:r>
        <w:rPr>
          <w:rFonts w:hint="eastAsia" w:ascii="宋体" w:hAnsi="宋体"/>
          <w:sz w:val="24"/>
          <w:highlight w:val="none"/>
        </w:rPr>
        <w:t xml:space="preserve">提供原厂技术驻场服务；</w:t>
      </w:r>
      <w:r>
        <w:rPr>
          <w:rFonts w:hint="eastAsia" w:ascii="宋体" w:hAnsi="宋体"/>
          <w:b/>
          <w:bCs/>
          <w:sz w:val="24"/>
          <w:highlight w:val="none"/>
        </w:rPr>
        <w:t xml:space="preserve">显控系统严重故障，厂商应提供60分钟内现场响应服务</w:t>
      </w:r>
      <w:r>
        <w:rPr>
          <w:rFonts w:hint="eastAsia" w:ascii="宋体" w:hAnsi="宋体"/>
          <w:sz w:val="24"/>
          <w:highlight w:val="none"/>
        </w:rPr>
        <w:t xml:space="preserve">，到场后立即实施故障排查、问题分析及应急处置操作，最大限度降低故障影响。</w:t>
      </w:r>
      <w:r>
        <w:rPr>
          <w:rFonts w:hint="eastAsia" w:ascii="宋体" w:hAnsi="宋体"/>
          <w:b/>
          <w:bCs/>
          <w:sz w:val="24"/>
          <w:highlight w:val="none"/>
        </w:rPr>
        <w:t xml:space="preserve">签订合同</w:t>
      </w:r>
      <w:r>
        <w:rPr>
          <w:rFonts w:hint="eastAsia" w:ascii="宋体" w:hAnsi="宋体"/>
          <w:b/>
          <w:bCs/>
          <w:sz w:val="24"/>
          <w:highlight w:val="none"/>
          <w:lang w:val="en-US" w:eastAsia="zh-CN"/>
        </w:rPr>
        <w:t xml:space="preserve">时</w:t>
      </w:r>
      <w:r>
        <w:rPr>
          <w:rFonts w:hint="eastAsia" w:ascii="宋体" w:hAnsi="宋体"/>
          <w:b/>
          <w:bCs/>
          <w:sz w:val="24"/>
          <w:highlight w:val="none"/>
        </w:rPr>
        <w:t xml:space="preserve">需提供厂方承诺函</w:t>
      </w:r>
      <w:r>
        <w:rPr>
          <w:rFonts w:hint="eastAsia" w:ascii="宋体" w:hAnsi="宋体"/>
          <w:sz w:val="24"/>
          <w:highlight w:val="none"/>
          <w:lang w:eastAsia="zh-CN"/>
        </w:rPr>
        <w:t xml:space="preserve">。</w:t>
      </w:r>
      <w:r/>
    </w:p>
    <w:p>
      <w:pPr>
        <w:pStyle w:val="864"/>
        <w:numPr>
          <w:ilvl w:val="2"/>
          <w:numId w:val="0"/>
        </w:numPr>
        <w:spacing w:before="0" w:after="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项目维保期</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本项目维保期为项目验收合格后</w:t>
      </w:r>
      <w:r>
        <w:rPr>
          <w:rFonts w:hint="eastAsia" w:ascii="宋体" w:hAnsi="宋体"/>
          <w:color w:val="auto"/>
          <w:sz w:val="24"/>
          <w:highlight w:val="none"/>
          <w:lang w:eastAsia="zh-CN"/>
        </w:rPr>
        <w:t xml:space="preserve">五</w:t>
      </w:r>
      <w:r>
        <w:rPr>
          <w:rFonts w:hint="eastAsia" w:ascii="宋体" w:hAnsi="宋体"/>
          <w:color w:val="auto"/>
          <w:sz w:val="24"/>
          <w:highlight w:val="none"/>
        </w:rPr>
        <w:t xml:space="preserve">年基础维保期</w:t>
      </w:r>
      <w:r>
        <w:rPr>
          <w:rFonts w:hint="eastAsia" w:ascii="宋体" w:hAnsi="宋体"/>
          <w:color w:val="auto"/>
          <w:sz w:val="24"/>
          <w:highlight w:val="none"/>
          <w:lang w:eastAsia="zh-CN"/>
        </w:rPr>
        <w:t xml:space="preserve">及</w:t>
      </w:r>
      <w:r>
        <w:rPr>
          <w:rFonts w:hint="eastAsia" w:ascii="宋体" w:hAnsi="宋体"/>
          <w:color w:val="auto"/>
          <w:sz w:val="24"/>
          <w:highlight w:val="none"/>
        </w:rPr>
        <w:t xml:space="preserve">投标人</w:t>
      </w:r>
      <w:r>
        <w:rPr>
          <w:rFonts w:hint="eastAsia" w:ascii="宋体" w:hAnsi="宋体"/>
          <w:color w:val="auto"/>
          <w:sz w:val="24"/>
          <w:highlight w:val="none"/>
          <w:lang w:eastAsia="zh-CN"/>
        </w:rPr>
        <w:t xml:space="preserve">承诺延期免费维保期</w:t>
      </w:r>
      <w:r>
        <w:rPr>
          <w:rFonts w:hint="eastAsia" w:ascii="宋体" w:hAnsi="宋体"/>
          <w:color w:val="auto"/>
          <w:sz w:val="24"/>
          <w:highlight w:val="none"/>
        </w:rPr>
        <w:t xml:space="preserve">。</w:t>
      </w:r>
      <w:r/>
    </w:p>
    <w:p>
      <w:pPr>
        <w:pStyle w:val="864"/>
        <w:numPr>
          <w:ilvl w:val="2"/>
          <w:numId w:val="0"/>
        </w:numPr>
        <w:spacing w:before="0" w:after="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服务响应及承诺</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供应商应提供</w:t>
      </w:r>
      <w:r>
        <w:rPr>
          <w:rFonts w:ascii="宋体" w:hAnsi="宋体"/>
          <w:color w:val="auto"/>
          <w:sz w:val="24"/>
          <w:highlight w:val="none"/>
        </w:rPr>
        <w:t xml:space="preserve">7x24小时运维服务，并承诺在收到采购人通知后，</w:t>
      </w:r>
      <w:r>
        <w:rPr>
          <w:rFonts w:hint="eastAsia" w:ascii="宋体" w:hAnsi="宋体"/>
          <w:color w:val="auto"/>
          <w:sz w:val="24"/>
          <w:highlight w:val="none"/>
          <w:lang w:val="en-US" w:eastAsia="zh-CN"/>
        </w:rPr>
        <w:t xml:space="preserve">60</w:t>
      </w:r>
      <w:r>
        <w:rPr>
          <w:rFonts w:ascii="宋体" w:hAnsi="宋体"/>
          <w:color w:val="auto"/>
          <w:sz w:val="24"/>
          <w:highlight w:val="none"/>
        </w:rPr>
        <w:t xml:space="preserve">分钟内到达现场，24小时内修复。</w:t>
      </w:r>
      <w:r/>
    </w:p>
    <w:p>
      <w:pPr>
        <w:pStyle w:val="913"/>
        <w:numPr>
          <w:ilvl w:val="0"/>
          <w:numId w:val="4"/>
        </w:numPr>
        <w:ind w:left="297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维保期内的职责：</w:t>
      </w:r>
      <w:r/>
    </w:p>
    <w:p>
      <w:pPr>
        <w:pStyle w:val="913"/>
        <w:numPr>
          <w:ilvl w:val="0"/>
          <w:numId w:val="4"/>
        </w:numPr>
        <w:ind w:left="297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维保期内的保修；</w:t>
      </w:r>
      <w:r/>
    </w:p>
    <w:p>
      <w:pPr>
        <w:pStyle w:val="913"/>
        <w:numPr>
          <w:ilvl w:val="0"/>
          <w:numId w:val="4"/>
        </w:numPr>
        <w:ind w:left="297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维保期内的软件；</w:t>
      </w:r>
      <w:r/>
    </w:p>
    <w:p>
      <w:pPr>
        <w:pStyle w:val="913"/>
        <w:numPr>
          <w:ilvl w:val="0"/>
          <w:numId w:val="4"/>
        </w:numPr>
        <w:ind w:left="297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维保期内的质量；</w:t>
      </w:r>
      <w:r/>
    </w:p>
    <w:p>
      <w:pPr>
        <w:pStyle w:val="913"/>
        <w:numPr>
          <w:ilvl w:val="0"/>
          <w:numId w:val="4"/>
        </w:numPr>
        <w:ind w:left="297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维保期内的安装；</w:t>
      </w:r>
      <w:r/>
    </w:p>
    <w:p>
      <w:pPr>
        <w:pStyle w:val="913"/>
        <w:numPr>
          <w:ilvl w:val="0"/>
          <w:numId w:val="4"/>
        </w:numPr>
        <w:ind w:left="297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维保期内的维护；</w:t>
      </w:r>
      <w:r/>
    </w:p>
    <w:p>
      <w:pPr>
        <w:pStyle w:val="913"/>
        <w:numPr>
          <w:ilvl w:val="0"/>
          <w:numId w:val="4"/>
        </w:numPr>
        <w:ind w:left="297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维保期内的维修费用；</w:t>
      </w:r>
      <w:r/>
    </w:p>
    <w:p>
      <w:pPr>
        <w:pStyle w:val="913"/>
        <w:numPr>
          <w:ilvl w:val="0"/>
          <w:numId w:val="4"/>
        </w:numPr>
        <w:ind w:left="297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维保期内的其他承诺；</w:t>
      </w:r>
      <w:r/>
    </w:p>
    <w:p>
      <w:pPr>
        <w:pStyle w:val="864"/>
        <w:numPr>
          <w:ilvl w:val="2"/>
          <w:numId w:val="0"/>
        </w:numPr>
        <w:spacing w:before="0" w:after="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故障的定义和确认</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8.4.1</w:t>
      </w:r>
      <w:r>
        <w:rPr>
          <w:rFonts w:hint="eastAsia" w:ascii="宋体" w:hAnsi="宋体"/>
          <w:color w:val="auto"/>
          <w:sz w:val="24"/>
          <w:highlight w:val="none"/>
        </w:rPr>
        <w:t xml:space="preserve">故障的定义</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故障是指设备未正常工作或不能提供合格的数据或服务。</w:t>
      </w:r>
      <w:r/>
    </w:p>
    <w:p>
      <w:pPr>
        <w:ind w:firstLine="480"/>
        <w:spacing w:line="400" w:lineRule="exact"/>
        <w:rPr>
          <w:rFonts w:ascii="宋体" w:hAnsi="宋体"/>
          <w:sz w:val="24"/>
          <w:highlight w:val="none"/>
        </w:rPr>
      </w:pPr>
      <w:r>
        <w:rPr>
          <w:rFonts w:hint="eastAsia" w:ascii="宋体" w:hAnsi="宋体"/>
          <w:sz w:val="24"/>
          <w:highlight w:val="none"/>
        </w:rPr>
        <w:t xml:space="preserve">严重故障：</w:t>
      </w:r>
      <w:r>
        <w:rPr>
          <w:rFonts w:ascii="宋体" w:hAnsi="宋体"/>
          <w:sz w:val="24"/>
          <w:highlight w:val="none"/>
        </w:rPr>
        <w:t xml:space="preserve">是指实时或历史的数据无法提供给采购单位正常使用的故障</w:t>
      </w:r>
      <w:r>
        <w:rPr>
          <w:rFonts w:hint="eastAsia" w:ascii="宋体" w:hAnsi="宋体"/>
          <w:sz w:val="24"/>
          <w:highlight w:val="none"/>
        </w:rPr>
        <w:t xml:space="preserve">；大屏出现整屏黑屏、花屏、无信号输出，或核心显控设备宕机等导致系统无法正常运行的故障；</w:t>
      </w:r>
      <w:r/>
    </w:p>
    <w:p>
      <w:pPr>
        <w:ind w:firstLine="480"/>
        <w:spacing w:line="400" w:lineRule="exact"/>
        <w:rPr>
          <w:rFonts w:ascii="宋体" w:hAnsi="宋体"/>
          <w:sz w:val="24"/>
          <w:highlight w:val="none"/>
        </w:rPr>
      </w:pPr>
      <w:r>
        <w:rPr>
          <w:rFonts w:ascii="宋体" w:hAnsi="宋体"/>
          <w:sz w:val="24"/>
          <w:highlight w:val="none"/>
        </w:rPr>
        <w:t xml:space="preserve">一般故障</w:t>
      </w:r>
      <w:r>
        <w:rPr>
          <w:rFonts w:hint="eastAsia" w:ascii="宋体" w:hAnsi="宋体"/>
          <w:sz w:val="24"/>
          <w:highlight w:val="none"/>
        </w:rPr>
        <w:t xml:space="preserve">：</w:t>
      </w:r>
      <w:r>
        <w:rPr>
          <w:rFonts w:ascii="宋体" w:hAnsi="宋体"/>
          <w:sz w:val="24"/>
          <w:highlight w:val="none"/>
        </w:rPr>
        <w:t xml:space="preserve">是指局部或个别数据或功能无法提供但不影响主体使用的故障</w:t>
      </w:r>
      <w:r>
        <w:rPr>
          <w:rFonts w:hint="eastAsia" w:ascii="宋体" w:hAnsi="宋体"/>
          <w:sz w:val="24"/>
          <w:highlight w:val="none"/>
        </w:rPr>
        <w:t xml:space="preserve">；单块屏体异常、局部信号卡顿、参数异常等不影响系统整体运行的故障。</w:t>
      </w:r>
      <w:r/>
    </w:p>
    <w:p>
      <w:pPr>
        <w:ind w:firstLine="480"/>
        <w:spacing w:line="400" w:lineRule="exact"/>
        <w:rPr>
          <w:rFonts w:ascii="宋体" w:hAnsi="宋体"/>
          <w:sz w:val="24"/>
          <w:highlight w:val="none"/>
        </w:rPr>
      </w:pPr>
      <w:r>
        <w:rPr>
          <w:rFonts w:hint="eastAsia" w:ascii="宋体" w:hAnsi="宋体"/>
          <w:sz w:val="24"/>
          <w:highlight w:val="none"/>
        </w:rPr>
        <w:t xml:space="preserve">故障确认：</w:t>
      </w:r>
      <w:r>
        <w:rPr>
          <w:rFonts w:ascii="宋体" w:hAnsi="宋体"/>
          <w:sz w:val="24"/>
          <w:highlight w:val="none"/>
        </w:rPr>
        <w:t xml:space="preserve">由运维系统自动检测或运维人员巡检</w:t>
      </w:r>
      <w:r>
        <w:rPr>
          <w:rFonts w:hint="eastAsia" w:ascii="宋体" w:hAnsi="宋体"/>
          <w:sz w:val="24"/>
          <w:highlight w:val="none"/>
        </w:rPr>
        <w:t xml:space="preserve">、</w:t>
      </w:r>
      <w:r>
        <w:rPr>
          <w:rFonts w:ascii="宋体" w:hAnsi="宋体"/>
          <w:sz w:val="24"/>
          <w:highlight w:val="none"/>
        </w:rPr>
        <w:t xml:space="preserve">采购</w:t>
      </w:r>
      <w:r>
        <w:rPr>
          <w:rFonts w:hint="eastAsia" w:ascii="宋体" w:hAnsi="宋体"/>
          <w:sz w:val="24"/>
          <w:highlight w:val="none"/>
        </w:rPr>
        <w:t xml:space="preserve">单位使用</w:t>
      </w:r>
      <w:r>
        <w:rPr>
          <w:rFonts w:ascii="宋体" w:hAnsi="宋体"/>
          <w:sz w:val="24"/>
          <w:highlight w:val="none"/>
        </w:rPr>
        <w:t xml:space="preserve">发现报修，并经供应商和采购单位双方确认为故障。</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对于每一件报修事件在修复后应闭环，要明确故障设备及维修性质，维修性质可包括：</w:t>
      </w:r>
      <w:r>
        <w:rPr>
          <w:rFonts w:ascii="宋体" w:hAnsi="宋体"/>
          <w:color w:val="auto"/>
          <w:sz w:val="24"/>
          <w:highlight w:val="none"/>
        </w:rPr>
        <w:t xml:space="preserve">“故障”、“计划性维护”</w:t>
      </w:r>
      <w:r>
        <w:rPr>
          <w:rFonts w:hint="eastAsia" w:ascii="宋体" w:hAnsi="宋体"/>
          <w:color w:val="auto"/>
          <w:sz w:val="24"/>
          <w:highlight w:val="none"/>
        </w:rPr>
        <w:t xml:space="preserve">、</w:t>
      </w:r>
      <w:r>
        <w:rPr>
          <w:rFonts w:ascii="宋体" w:hAnsi="宋体"/>
          <w:color w:val="auto"/>
          <w:sz w:val="24"/>
          <w:highlight w:val="none"/>
        </w:rPr>
        <w:t xml:space="preserve">“其它原因”，对于其它原因引起的维修事件应注明事件原因，记入设备维修档案。</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以下原因所导致的维修事件不被确认为故障</w:t>
      </w:r>
      <w:r>
        <w:rPr>
          <w:rFonts w:ascii="宋体" w:hAnsi="宋体"/>
          <w:color w:val="auto"/>
          <w:sz w:val="24"/>
          <w:highlight w:val="none"/>
        </w:rPr>
        <w:t xml:space="preserve">:</w:t>
      </w:r>
      <w:r/>
    </w:p>
    <w:p>
      <w:pPr>
        <w:numPr>
          <w:ilvl w:val="0"/>
          <w:numId w:val="5"/>
        </w:numPr>
        <w:ind w:left="924" w:hanging="442"/>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计划内的系统维护工作所引起的；</w:t>
      </w:r>
      <w:r/>
    </w:p>
    <w:p>
      <w:pPr>
        <w:numPr>
          <w:ilvl w:val="0"/>
          <w:numId w:val="5"/>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不可抗力引起的</w:t>
      </w:r>
      <w:r>
        <w:rPr>
          <w:rFonts w:hint="eastAsia" w:ascii="宋体" w:hAnsi="宋体"/>
          <w:color w:val="auto"/>
          <w:sz w:val="24"/>
          <w:szCs w:val="21"/>
          <w:highlight w:val="none"/>
        </w:rPr>
        <w:t xml:space="preserve">；</w:t>
      </w:r>
      <w:r/>
    </w:p>
    <w:p>
      <w:pPr>
        <w:numPr>
          <w:ilvl w:val="0"/>
          <w:numId w:val="5"/>
        </w:numPr>
        <w:ind w:left="924" w:hanging="442"/>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招标人授权紧急维护引起的；</w:t>
      </w:r>
      <w:r/>
    </w:p>
    <w:p>
      <w:pPr>
        <w:numPr>
          <w:ilvl w:val="0"/>
          <w:numId w:val="5"/>
        </w:numPr>
        <w:ind w:left="924" w:hanging="442"/>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任何由招标人的电路或设备原因所引起的；</w:t>
      </w:r>
      <w:r/>
    </w:p>
    <w:p>
      <w:pPr>
        <w:numPr>
          <w:ilvl w:val="0"/>
          <w:numId w:val="5"/>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招标人的应用或安装活动所引起的</w:t>
      </w:r>
      <w:r>
        <w:rPr>
          <w:rFonts w:hint="eastAsia" w:ascii="宋体" w:hAnsi="宋体"/>
          <w:color w:val="auto"/>
          <w:sz w:val="24"/>
          <w:szCs w:val="21"/>
          <w:highlight w:val="none"/>
        </w:rPr>
        <w:t xml:space="preserve">；</w:t>
      </w:r>
      <w:r/>
    </w:p>
    <w:p>
      <w:pPr>
        <w:numPr>
          <w:ilvl w:val="0"/>
          <w:numId w:val="5"/>
        </w:numPr>
        <w:ind w:left="924" w:hanging="442"/>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招标人及任何招标人授权第三方人员进行操作所引起的；</w:t>
      </w:r>
      <w:r/>
    </w:p>
    <w:p>
      <w:pPr>
        <w:numPr>
          <w:ilvl w:val="0"/>
          <w:numId w:val="5"/>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第三方责任引起的</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8.4.2</w:t>
      </w:r>
      <w:r>
        <w:rPr>
          <w:rFonts w:hint="eastAsia" w:ascii="宋体" w:hAnsi="宋体"/>
          <w:color w:val="auto"/>
          <w:sz w:val="24"/>
          <w:highlight w:val="none"/>
        </w:rPr>
        <w:t xml:space="preserve">故障时间确认</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故障时间为从接到维修事件到故障被修复的时间。</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中标单位完成维修，并得到采购人确认方能算此故障被修复。</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设备可用性保证要求</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单个设备可用率以月度为统计周期；</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单个设备可用率</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故障时间/月总时间</w:t>
      </w:r>
      <w:r>
        <w:rPr>
          <w:rFonts w:hint="eastAsia" w:ascii="宋体" w:hAnsi="宋体"/>
          <w:color w:val="auto"/>
          <w:sz w:val="24"/>
          <w:highlight w:val="none"/>
        </w:rPr>
        <w:t xml:space="preserve">））</w:t>
      </w:r>
      <w:r>
        <w:rPr>
          <w:rFonts w:ascii="宋体" w:hAnsi="宋体"/>
          <w:color w:val="auto"/>
          <w:sz w:val="24"/>
          <w:highlight w:val="none"/>
        </w:rPr>
        <w:t xml:space="preserve">*100%</w:t>
      </w:r>
      <w:r>
        <w:rPr>
          <w:rFonts w:hint="eastAsia" w:ascii="宋体" w:hAnsi="宋体"/>
          <w:color w:val="auto"/>
          <w:sz w:val="24"/>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每月质量评估报表在次月</w:t>
      </w:r>
      <w:r>
        <w:rPr>
          <w:rFonts w:ascii="宋体" w:hAnsi="宋体"/>
          <w:color w:val="auto"/>
          <w:sz w:val="24"/>
          <w:highlight w:val="none"/>
        </w:rPr>
        <w:t xml:space="preserve">15日之前出具</w:t>
      </w:r>
      <w:r>
        <w:rPr>
          <w:rFonts w:hint="eastAsia" w:ascii="宋体" w:hAnsi="宋体"/>
          <w:color w:val="auto"/>
          <w:sz w:val="24"/>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单个设备每月故障次数应≤</w:t>
      </w:r>
      <w:r>
        <w:rPr>
          <w:rFonts w:ascii="宋体" w:hAnsi="宋体"/>
          <w:color w:val="auto"/>
          <w:sz w:val="24"/>
          <w:highlight w:val="none"/>
        </w:rPr>
        <w:t xml:space="preserve">5</w:t>
      </w:r>
      <w:r>
        <w:rPr>
          <w:rFonts w:hint="eastAsia" w:ascii="宋体" w:hAnsi="宋体"/>
          <w:color w:val="auto"/>
          <w:sz w:val="24"/>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单个设备的月可用率应≥</w:t>
      </w:r>
      <w:r>
        <w:rPr>
          <w:rFonts w:ascii="宋体" w:hAnsi="宋体"/>
          <w:color w:val="auto"/>
          <w:sz w:val="24"/>
          <w:highlight w:val="none"/>
        </w:rPr>
        <w:t xml:space="preserve">95%</w:t>
      </w:r>
      <w:r>
        <w:rPr>
          <w:rFonts w:hint="eastAsia" w:ascii="宋体" w:hAnsi="宋体"/>
          <w:color w:val="auto"/>
          <w:sz w:val="24"/>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单个设备月可用率</w:t>
      </w:r>
      <w:r>
        <w:rPr>
          <w:rFonts w:ascii="宋体" w:hAnsi="宋体"/>
          <w:color w:val="auto"/>
          <w:sz w:val="24"/>
          <w:highlight w:val="none"/>
        </w:rPr>
        <w:t xml:space="preserve">&lt;95%或设备每月故障次数&gt;3次，供应商必须对设备进行强制性更换，供应商必须在上月质量评估报表出具后7天内更换(存储、交换机在保证系统不出现严重故障的前提下，30天内更换，且故障硬盘不返还供应商)</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出现严重故障的，应在采购单位报修时间起</w:t>
      </w:r>
      <w:r>
        <w:rPr>
          <w:rFonts w:ascii="宋体" w:hAnsi="宋体"/>
          <w:color w:val="auto"/>
          <w:sz w:val="24"/>
          <w:highlight w:val="none"/>
        </w:rPr>
        <w:t xml:space="preserve">24小时内修复，未能在24小时内修复的每超过24小时应扣款1000元，更换每超24小时扣款1000元。</w:t>
      </w:r>
      <w:r/>
    </w:p>
    <w:p>
      <w:pPr>
        <w:ind w:firstLine="480"/>
        <w:spacing w:line="400" w:lineRule="exact"/>
        <w:rPr>
          <w:rFonts w:ascii="宋体" w:hAnsi="宋体"/>
          <w:sz w:val="24"/>
          <w:highlight w:val="none"/>
        </w:rPr>
      </w:pPr>
      <w:r>
        <w:rPr>
          <w:rFonts w:hint="eastAsia" w:ascii="宋体" w:hAnsi="宋体"/>
          <w:sz w:val="24"/>
          <w:highlight w:val="none"/>
          <w:lang w:val="en-US" w:eastAsia="zh-CN"/>
        </w:rPr>
        <w:t xml:space="preserve">8.4.3</w:t>
      </w:r>
      <w:r>
        <w:rPr>
          <w:rFonts w:hint="eastAsia" w:ascii="宋体" w:hAnsi="宋体"/>
          <w:sz w:val="24"/>
          <w:highlight w:val="none"/>
        </w:rPr>
        <w:t xml:space="preserve">响应时效</w:t>
      </w:r>
      <w:r/>
    </w:p>
    <w:p>
      <w:pPr>
        <w:ind w:firstLine="480"/>
        <w:spacing w:line="400" w:lineRule="exact"/>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严重故障：接到故障通知后30分钟内响应确认，60分钟内抵达现场排查处理，4小时内完成应急修复或提供备用方案、</w:t>
      </w:r>
      <w:r>
        <w:rPr>
          <w:rFonts w:ascii="宋体" w:hAnsi="宋体"/>
          <w:sz w:val="24"/>
          <w:highlight w:val="none"/>
        </w:rPr>
        <w:t xml:space="preserve">更换</w:t>
      </w:r>
      <w:r>
        <w:rPr>
          <w:rFonts w:hint="eastAsia" w:ascii="宋体" w:hAnsi="宋体"/>
          <w:sz w:val="24"/>
          <w:highlight w:val="none"/>
        </w:rPr>
        <w:t xml:space="preserve">故障设备确保系统恢复运行；</w:t>
      </w:r>
      <w:r/>
    </w:p>
    <w:p>
      <w:pPr>
        <w:ind w:firstLine="480"/>
        <w:spacing w:line="400" w:lineRule="exact"/>
        <w:rPr>
          <w:rFonts w:ascii="宋体" w:hAnsi="宋体"/>
          <w:sz w:val="24"/>
          <w:highlight w:val="none"/>
        </w:rPr>
      </w:pPr>
      <w:r>
        <w:rPr>
          <w:rFonts w:ascii="宋体" w:hAnsi="宋体"/>
          <w:sz w:val="24"/>
          <w:highlight w:val="none"/>
        </w:rPr>
        <w:t xml:space="preserve">未能在4小时内修复的每超过24小时应扣款1000元，更换每超24小时扣款1000元。</w:t>
      </w:r>
      <w:r/>
    </w:p>
    <w:p>
      <w:pPr>
        <w:ind w:firstLine="480"/>
        <w:spacing w:line="400" w:lineRule="exact"/>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一般故障：接到故障通知后60分钟内响应确认，2小时内抵达现场，24小时内完成修复。未完成修复的每超</w:t>
      </w:r>
      <w:r>
        <w:rPr>
          <w:rFonts w:ascii="宋体" w:hAnsi="宋体"/>
          <w:sz w:val="24"/>
          <w:highlight w:val="none"/>
        </w:rPr>
        <w:t xml:space="preserve">24小时扣款500元</w:t>
      </w:r>
      <w:r>
        <w:rPr>
          <w:rFonts w:hint="eastAsia" w:ascii="宋体" w:hAnsi="宋体"/>
          <w:sz w:val="24"/>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故障处理完成后24小时内提交故障分析及处理报告，明确原因、措施及预防方案。</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8.4.4</w:t>
      </w:r>
      <w:r>
        <w:rPr>
          <w:rFonts w:hint="eastAsia" w:ascii="宋体" w:hAnsi="宋体"/>
          <w:color w:val="auto"/>
          <w:sz w:val="24"/>
          <w:highlight w:val="none"/>
        </w:rPr>
        <w:t xml:space="preserve">罚则</w:t>
      </w:r>
      <w:r/>
    </w:p>
    <w:tbl>
      <w:tblPr>
        <w:tblStyle w:val="890"/>
        <w:tblW w:w="9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607"/>
        <w:gridCol w:w="3371"/>
        <w:gridCol w:w="3300"/>
      </w:tblGrid>
      <w:tr>
        <w:trPr/>
        <w:tc>
          <w:tcPr>
            <w:tcW w:w="1117"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607"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故障类型</w:t>
            </w:r>
            <w:r/>
          </w:p>
        </w:tc>
        <w:tc>
          <w:tcPr>
            <w:tcW w:w="3371"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修复超时罚款</w:t>
            </w:r>
            <w:r/>
          </w:p>
        </w:tc>
        <w:tc>
          <w:tcPr>
            <w:tcW w:w="3300"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更换超时罚款</w:t>
            </w:r>
            <w:r/>
          </w:p>
        </w:tc>
      </w:tr>
      <w:tr>
        <w:trPr/>
        <w:tc>
          <w:tcPr>
            <w:tcW w:w="1117"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607"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严重故障</w:t>
            </w:r>
            <w:r/>
          </w:p>
        </w:tc>
        <w:tc>
          <w:tcPr>
            <w:tcW w:w="3371"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每超</w:t>
            </w:r>
            <w:r>
              <w:rPr>
                <w:rFonts w:ascii="宋体" w:hAnsi="宋体"/>
                <w:color w:val="auto"/>
                <w:sz w:val="24"/>
                <w:highlight w:val="none"/>
              </w:rPr>
              <w:t xml:space="preserve">24小时扣款1000元</w:t>
            </w:r>
            <w:r/>
          </w:p>
        </w:tc>
        <w:tc>
          <w:tcPr>
            <w:tcW w:w="3300"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每超</w:t>
            </w:r>
            <w:r>
              <w:rPr>
                <w:rFonts w:ascii="宋体" w:hAnsi="宋体"/>
                <w:color w:val="auto"/>
                <w:sz w:val="24"/>
                <w:highlight w:val="none"/>
              </w:rPr>
              <w:t xml:space="preserve">24小时扣款1000元</w:t>
            </w:r>
            <w:r/>
          </w:p>
        </w:tc>
      </w:tr>
      <w:tr>
        <w:trPr/>
        <w:tc>
          <w:tcPr>
            <w:tcW w:w="1117"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607"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一般故障</w:t>
            </w:r>
            <w:r/>
          </w:p>
        </w:tc>
        <w:tc>
          <w:tcPr>
            <w:tcW w:w="3371"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每超</w:t>
            </w:r>
            <w:r>
              <w:rPr>
                <w:rFonts w:ascii="宋体" w:hAnsi="宋体"/>
                <w:color w:val="auto"/>
                <w:sz w:val="24"/>
                <w:highlight w:val="none"/>
              </w:rPr>
              <w:t xml:space="preserve">24小时扣款500元</w:t>
            </w:r>
            <w:r/>
          </w:p>
        </w:tc>
        <w:tc>
          <w:tcPr>
            <w:tcW w:w="3300"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r>
      <w:r/>
    </w:p>
    <w:p>
      <w:pPr>
        <w:pStyle w:val="864"/>
        <w:numPr>
          <w:ilvl w:val="2"/>
          <w:numId w:val="0"/>
        </w:numPr>
        <w:spacing w:before="0" w:after="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运维服务方案</w:t>
      </w:r>
      <w:r/>
    </w:p>
    <w:p>
      <w:pPr>
        <w:numPr>
          <w:ilvl w:val="0"/>
          <w:numId w:val="0"/>
        </w:numPr>
        <w:ind w:firstLine="420"/>
        <w:spacing w:line="400" w:lineRule="exact"/>
        <w:rPr>
          <w:rFonts w:ascii="宋体" w:hAnsi="宋体"/>
          <w:color w:val="auto"/>
          <w:sz w:val="24"/>
          <w:highlight w:val="none"/>
        </w:rPr>
      </w:pPr>
      <w:r>
        <w:rPr>
          <w:rFonts w:hint="eastAsia" w:ascii="宋体" w:hAnsi="宋体"/>
          <w:color w:val="auto"/>
          <w:sz w:val="24"/>
          <w:highlight w:val="none"/>
          <w:lang w:val="en-US" w:eastAsia="zh-CN"/>
        </w:rPr>
        <w:t xml:space="preserve">8.5.1</w:t>
      </w:r>
      <w:r>
        <w:rPr>
          <w:rFonts w:ascii="宋体" w:hAnsi="宋体"/>
          <w:color w:val="auto"/>
          <w:sz w:val="24"/>
          <w:highlight w:val="none"/>
        </w:rPr>
        <w:t xml:space="preserve">配置要求</w:t>
      </w:r>
      <w:r/>
    </w:p>
    <w:p>
      <w:pPr>
        <w:ind w:firstLine="480"/>
        <w:spacing w:line="400" w:lineRule="exact"/>
        <w:rPr>
          <w:rFonts w:ascii="宋体" w:hAnsi="宋体"/>
          <w:sz w:val="24"/>
          <w:highlight w:val="none"/>
        </w:rPr>
      </w:pPr>
      <w:r>
        <w:rPr>
          <w:rFonts w:hint="eastAsia" w:ascii="宋体" w:hAnsi="宋体"/>
          <w:sz w:val="24"/>
          <w:highlight w:val="none"/>
        </w:rPr>
        <w:t xml:space="preserve">供应商须委派一支受过良好教育和培训的、有经验的技术支持与运维服务队伍，为本期工程提供及时、全面以及本地化（可授权本地单位）的售后技术支持和服务，供应商应承诺常驻技术运维服务队伍成员至少应包含：</w:t>
      </w:r>
      <w:r/>
    </w:p>
    <w:p>
      <w:pPr>
        <w:numPr>
          <w:ilvl w:val="0"/>
          <w:numId w:val="6"/>
        </w:numPr>
        <w:ind w:left="924" w:hanging="504"/>
        <w:spacing w:line="400" w:lineRule="exact"/>
        <w:rPr>
          <w:rFonts w:ascii="宋体" w:hAnsi="宋体"/>
          <w:sz w:val="24"/>
          <w:szCs w:val="21"/>
          <w:highlight w:val="none"/>
        </w:rPr>
      </w:pPr>
      <w:r>
        <w:rPr>
          <w:rFonts w:hint="eastAsia" w:ascii="宋体" w:hAnsi="宋体"/>
          <w:sz w:val="24"/>
          <w:szCs w:val="21"/>
          <w:highlight w:val="none"/>
        </w:rPr>
        <w:t xml:space="preserve">维护经理1人，负责日常运维工作沟通与协调；</w:t>
      </w:r>
      <w:r/>
    </w:p>
    <w:p>
      <w:pPr>
        <w:numPr>
          <w:ilvl w:val="0"/>
          <w:numId w:val="6"/>
        </w:numPr>
        <w:ind w:left="0" w:firstLine="420"/>
        <w:spacing w:line="400" w:lineRule="exact"/>
        <w:rPr>
          <w:rFonts w:ascii="宋体" w:hAnsi="宋体"/>
          <w:sz w:val="24"/>
          <w:szCs w:val="21"/>
          <w:highlight w:val="none"/>
        </w:rPr>
      </w:pPr>
      <w:r>
        <w:rPr>
          <w:rFonts w:ascii="宋体" w:hAnsi="宋体"/>
          <w:sz w:val="24"/>
          <w:szCs w:val="21"/>
          <w:highlight w:val="none"/>
        </w:rPr>
        <w:t xml:space="preserve">硬件</w:t>
      </w:r>
      <w:r>
        <w:rPr>
          <w:rFonts w:hint="eastAsia" w:ascii="宋体" w:hAnsi="宋体"/>
          <w:sz w:val="24"/>
          <w:szCs w:val="21"/>
          <w:highlight w:val="none"/>
        </w:rPr>
        <w:t xml:space="preserve">及</w:t>
      </w:r>
      <w:r>
        <w:rPr>
          <w:rFonts w:ascii="宋体" w:hAnsi="宋体"/>
          <w:sz w:val="24"/>
          <w:szCs w:val="21"/>
          <w:highlight w:val="none"/>
        </w:rPr>
        <w:t xml:space="preserve">系统运维人员</w:t>
      </w:r>
      <w:r>
        <w:rPr>
          <w:rFonts w:hint="eastAsia" w:ascii="宋体" w:hAnsi="宋体"/>
          <w:sz w:val="24"/>
          <w:szCs w:val="21"/>
          <w:highlight w:val="none"/>
        </w:rPr>
        <w:t xml:space="preserve">1人</w:t>
      </w:r>
      <w:r>
        <w:rPr>
          <w:rFonts w:hint="eastAsia" w:ascii="宋体" w:hAnsi="宋体"/>
          <w:sz w:val="24"/>
          <w:szCs w:val="21"/>
          <w:highlight w:val="none"/>
          <w:lang w:eastAsia="zh-CN"/>
        </w:rPr>
        <w:t xml:space="preserve">以上</w:t>
      </w:r>
      <w:r>
        <w:rPr>
          <w:rFonts w:ascii="宋体" w:hAnsi="宋体"/>
          <w:sz w:val="24"/>
          <w:szCs w:val="21"/>
          <w:highlight w:val="none"/>
        </w:rPr>
        <w:t xml:space="preserve">，负责大屏等硬件设备日常检测与运维养护</w:t>
      </w:r>
      <w:r>
        <w:rPr>
          <w:rFonts w:hint="eastAsia" w:ascii="宋体" w:hAnsi="宋体"/>
          <w:sz w:val="24"/>
          <w:szCs w:val="21"/>
          <w:highlight w:val="none"/>
        </w:rPr>
        <w:t xml:space="preserve">、</w:t>
      </w:r>
      <w:r>
        <w:rPr>
          <w:rFonts w:ascii="宋体" w:hAnsi="宋体"/>
          <w:sz w:val="24"/>
          <w:szCs w:val="21"/>
          <w:highlight w:val="none"/>
        </w:rPr>
        <w:t xml:space="preserve">大屏主控及视频会议系统的运维保障。</w:t>
      </w:r>
      <w:r/>
    </w:p>
    <w:p>
      <w:pPr>
        <w:ind w:firstLine="480"/>
        <w:spacing w:line="400" w:lineRule="exact"/>
        <w:rPr>
          <w:rFonts w:hint="eastAsia" w:ascii="宋体" w:hAnsi="宋体"/>
          <w:color w:val="auto"/>
          <w:sz w:val="24"/>
          <w:highlight w:val="none"/>
        </w:rPr>
      </w:pPr>
      <w:r>
        <w:rPr>
          <w:rFonts w:hint="eastAsia" w:ascii="宋体" w:hAnsi="宋体"/>
          <w:sz w:val="24"/>
          <w:highlight w:val="none"/>
        </w:rPr>
        <w:t xml:space="preserve">中标单位五年基础维保期及投标人承诺延期免费维保期内，</w:t>
      </w:r>
      <w:r>
        <w:rPr>
          <w:rFonts w:ascii="宋体" w:hAnsi="宋体"/>
          <w:sz w:val="24"/>
          <w:highlight w:val="none"/>
        </w:rPr>
        <w:t xml:space="preserve">需在采购方指挥中心现场常驻不少于</w:t>
      </w:r>
      <w:r>
        <w:rPr>
          <w:rFonts w:hint="eastAsia" w:ascii="宋体" w:hAnsi="宋体"/>
          <w:sz w:val="24"/>
          <w:highlight w:val="none"/>
        </w:rPr>
        <w:t xml:space="preserve">1</w:t>
      </w:r>
      <w:r>
        <w:rPr>
          <w:rFonts w:ascii="宋体" w:hAnsi="宋体"/>
          <w:sz w:val="24"/>
          <w:highlight w:val="none"/>
        </w:rPr>
        <w:t xml:space="preserve">名运维人员。</w:t>
      </w:r>
      <w:r>
        <w:rPr>
          <w:rFonts w:hint="eastAsia" w:ascii="宋体" w:hAnsi="宋体"/>
          <w:color w:val="auto"/>
          <w:sz w:val="24"/>
          <w:highlight w:val="none"/>
        </w:rPr>
        <w:t xml:space="preserve">遇有其他特殊情形，驻场运维人员工作时间和工作任务根据采购人实际业务要求响应。</w:t>
      </w:r>
      <w:r>
        <w:rPr>
          <w:rFonts w:ascii="宋体" w:hAnsi="宋体"/>
          <w:sz w:val="24"/>
          <w:highlight w:val="none"/>
        </w:rPr>
        <w:t xml:space="preserve">中标单位须在中标后30日内提供售后服务团队人员身份证明以及社保资料清单，供采购人备查。</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8.5.2</w:t>
      </w:r>
      <w:r>
        <w:rPr>
          <w:rFonts w:ascii="宋体" w:hAnsi="宋体"/>
          <w:color w:val="auto"/>
          <w:sz w:val="24"/>
          <w:highlight w:val="none"/>
        </w:rPr>
        <w:t xml:space="preserve">运维服务</w:t>
      </w:r>
      <w:r/>
    </w:p>
    <w:p>
      <w:pPr>
        <w:ind w:firstLine="480"/>
        <w:rPr>
          <w:rFonts w:hint="eastAsia" w:ascii="宋体" w:hAnsi="宋体"/>
          <w:color w:val="auto"/>
          <w:sz w:val="24"/>
          <w:highlight w:val="none"/>
        </w:rPr>
      </w:pPr>
      <w:r>
        <w:rPr>
          <w:rFonts w:hint="eastAsia" w:ascii="宋体" w:hAnsi="宋体"/>
          <w:color w:val="auto"/>
          <w:sz w:val="24"/>
          <w:highlight w:val="none"/>
        </w:rPr>
        <w:t xml:space="preserve">供应商</w:t>
      </w:r>
      <w:r>
        <w:rPr>
          <w:rFonts w:hint="eastAsia" w:ascii="宋体" w:hAnsi="宋体"/>
          <w:color w:val="auto"/>
          <w:sz w:val="24"/>
          <w:highlight w:val="none"/>
          <w:lang w:val="en-US" w:eastAsia="zh-CN"/>
        </w:rPr>
        <w:t xml:space="preserve">应提供</w:t>
      </w:r>
      <w:r>
        <w:rPr>
          <w:rFonts w:hint="eastAsia" w:ascii="宋体" w:hAnsi="宋体"/>
          <w:color w:val="auto"/>
          <w:sz w:val="24"/>
          <w:highlight w:val="none"/>
        </w:rPr>
        <w:t xml:space="preserve">7×24小时全天候运维服务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驻场时间为每天8:00-20:00（节假日无休）</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提供</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运维服务方案，包括并不限于以下方面：</w:t>
      </w:r>
      <w:r/>
    </w:p>
    <w:p>
      <w:pPr>
        <w:numPr>
          <w:ilvl w:val="0"/>
          <w:numId w:val="7"/>
        </w:numPr>
        <w:ind w:left="924" w:hanging="442"/>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日常养护</w:t>
      </w:r>
      <w:r/>
    </w:p>
    <w:p>
      <w:pPr>
        <w:numPr>
          <w:ilvl w:val="0"/>
          <w:numId w:val="7"/>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故障抢修</w:t>
      </w:r>
      <w:r/>
    </w:p>
    <w:p>
      <w:pPr>
        <w:numPr>
          <w:ilvl w:val="0"/>
          <w:numId w:val="7"/>
        </w:numPr>
        <w:ind w:left="924" w:hanging="442"/>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操作保证</w:t>
      </w:r>
      <w:r/>
    </w:p>
    <w:p>
      <w:pPr>
        <w:numPr>
          <w:ilvl w:val="0"/>
          <w:numId w:val="7"/>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计划管理</w:t>
      </w:r>
      <w:r/>
    </w:p>
    <w:p>
      <w:pPr>
        <w:numPr>
          <w:ilvl w:val="0"/>
          <w:numId w:val="7"/>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技术管理</w:t>
      </w:r>
      <w:r/>
    </w:p>
    <w:p>
      <w:pPr>
        <w:numPr>
          <w:ilvl w:val="0"/>
          <w:numId w:val="7"/>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质量管理</w:t>
      </w:r>
      <w:r/>
    </w:p>
    <w:p>
      <w:pPr>
        <w:numPr>
          <w:ilvl w:val="0"/>
          <w:numId w:val="7"/>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档案管理</w:t>
      </w:r>
      <w:r/>
    </w:p>
    <w:p>
      <w:pPr>
        <w:numPr>
          <w:ilvl w:val="0"/>
          <w:numId w:val="7"/>
        </w:numPr>
        <w:ind w:left="924" w:hanging="442"/>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备品备件管理</w:t>
      </w:r>
      <w:r/>
    </w:p>
    <w:p>
      <w:pPr>
        <w:spacing w:line="400" w:lineRule="exact"/>
        <w:rPr>
          <w:rFonts w:hint="eastAsia" w:ascii="宋体" w:hAnsi="宋体"/>
          <w:b/>
          <w:color w:val="auto"/>
          <w:sz w:val="24"/>
          <w:highlight w:val="none"/>
        </w:rPr>
        <w:outlineLvl w:val="2"/>
      </w:pP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6</w:t>
      </w:r>
      <w:r>
        <w:rPr>
          <w:rFonts w:ascii="宋体" w:hAnsi="宋体"/>
          <w:b/>
          <w:color w:val="auto"/>
          <w:sz w:val="24"/>
          <w:highlight w:val="none"/>
        </w:rPr>
        <w:t xml:space="preserve">其他</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8.6.1</w:t>
      </w:r>
      <w:r>
        <w:rPr>
          <w:rFonts w:ascii="宋体" w:hAnsi="宋体"/>
          <w:color w:val="auto"/>
          <w:sz w:val="24"/>
          <w:highlight w:val="none"/>
        </w:rPr>
        <w:t xml:space="preserve">不可抗事由是指由于地震、台风、战争、罢工、非因各方原因发生的火灾等其它各方不能预见并且对其发生和后果不能防止或避免的不可抗力原因；</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8.6.2</w:t>
      </w:r>
      <w:r>
        <w:rPr>
          <w:rFonts w:ascii="宋体" w:hAnsi="宋体"/>
          <w:color w:val="auto"/>
          <w:sz w:val="24"/>
          <w:highlight w:val="none"/>
        </w:rPr>
        <w:t xml:space="preserve">本服务品质要求内容应于项目合同一致，如出现任何矛盾，应以项目合同为准。</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8.6.3</w:t>
      </w:r>
      <w:r>
        <w:rPr>
          <w:rFonts w:ascii="宋体" w:hAnsi="宋体"/>
          <w:color w:val="auto"/>
          <w:sz w:val="24"/>
          <w:highlight w:val="none"/>
        </w:rPr>
        <w:t xml:space="preserve">本项目尚未完工前，中标人中标后应负责原有系统软硬件的日常运维和保障工作，直至新建系统建成投入运行。</w:t>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lang w:val="en-US" w:eastAsia="zh-CN"/>
        </w:rPr>
        <w:t xml:space="preserve">九</w:t>
      </w:r>
      <w:r>
        <w:rPr>
          <w:rFonts w:ascii="黑体" w:hAnsi="黑体" w:eastAsia="黑体"/>
          <w:color w:val="auto"/>
          <w:sz w:val="28"/>
          <w:szCs w:val="28"/>
          <w:highlight w:val="none"/>
        </w:rPr>
        <w:t xml:space="preserve">、合同特殊条款</w:t>
      </w:r>
      <w:r>
        <w:rPr>
          <w:rFonts w:hint="eastAsia" w:ascii="黑体" w:hAnsi="黑体" w:eastAsia="黑体"/>
          <w:color w:val="auto"/>
          <w:sz w:val="28"/>
          <w:szCs w:val="28"/>
          <w:highlight w:val="none"/>
        </w:rPr>
        <w:t xml:space="preserve">：</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ascii="宋体" w:hAnsi="宋体"/>
          <w:b/>
          <w:color w:val="auto"/>
          <w:sz w:val="24"/>
          <w:highlight w:val="none"/>
        </w:rPr>
        <w:t xml:space="preserve">1．中标人的工作范围</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1根据投标文件的要求准时提供设备、备品备件、材料及附件和伴随服务，并负责所供货物的包装和运输，并负责所供设备的安装、调试和系统集成。</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2中标人必须提供投标文件中所列的全部设备、服务、软件、备品备件、材料及附件。</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3中标人在购买系统主要设备前，必须将设备品名、规格、配置、性能、产地等资料报采购人确认。</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4为采购人培训专业运行维护人员，并提供质保和售后服务。</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5本次采购项目全部验收交付后，在规定的时间内向采购人提供有关系统集成的完整详细的技术资料。</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6本次采购项目不得以任何形式进行转包或分包。</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2</w:t>
      </w:r>
      <w:r>
        <w:rPr>
          <w:rFonts w:ascii="宋体" w:hAnsi="宋体"/>
          <w:b/>
          <w:color w:val="auto"/>
          <w:sz w:val="24"/>
          <w:highlight w:val="none"/>
        </w:rPr>
        <w:t xml:space="preserve">．项目实施进度和误期赔偿</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2.</w:t>
      </w:r>
      <w:r>
        <w:rPr>
          <w:rFonts w:ascii="宋体" w:hAnsi="宋体"/>
          <w:color w:val="auto"/>
          <w:sz w:val="24"/>
          <w:highlight w:val="none"/>
        </w:rPr>
        <w:t xml:space="preserve">1中标人必须在合同签订之日起</w:t>
      </w:r>
      <w:r>
        <w:rPr>
          <w:rFonts w:hint="eastAsia" w:ascii="宋体" w:hAnsi="宋体"/>
          <w:color w:val="auto"/>
          <w:sz w:val="24"/>
          <w:highlight w:val="none"/>
        </w:rPr>
        <w:t xml:space="preserve">90天</w:t>
      </w:r>
      <w:r>
        <w:rPr>
          <w:rFonts w:ascii="宋体" w:hAnsi="宋体"/>
          <w:color w:val="auto"/>
          <w:sz w:val="24"/>
          <w:highlight w:val="none"/>
        </w:rPr>
        <w:t xml:space="preserve">内完成全部工程施工，</w:t>
      </w:r>
      <w:r>
        <w:rPr>
          <w:rFonts w:hint="eastAsia" w:ascii="宋体" w:hAnsi="宋体"/>
          <w:color w:val="auto"/>
          <w:sz w:val="24"/>
          <w:highlight w:val="none"/>
          <w:lang w:eastAsia="zh-Hans"/>
        </w:rPr>
        <w:t xml:space="preserve">向采购人申请初验</w:t>
      </w:r>
      <w:r>
        <w:rPr>
          <w:rFonts w:ascii="宋体" w:hAnsi="宋体"/>
          <w:color w:val="auto"/>
          <w:sz w:val="24"/>
          <w:highlight w:val="none"/>
        </w:rPr>
        <w:t xml:space="preserve">。如果中标人未能及时完成，则应根据本条第</w:t>
      </w:r>
      <w:r>
        <w:rPr>
          <w:rFonts w:hint="eastAsia" w:ascii="宋体" w:hAnsi="宋体"/>
          <w:color w:val="auto"/>
          <w:sz w:val="24"/>
          <w:highlight w:val="none"/>
        </w:rPr>
        <w:t xml:space="preserve">2.4</w:t>
      </w:r>
      <w:r>
        <w:rPr>
          <w:rFonts w:ascii="宋体" w:hAnsi="宋体"/>
          <w:color w:val="auto"/>
          <w:sz w:val="24"/>
          <w:highlight w:val="none"/>
        </w:rPr>
        <w:t xml:space="preserve">款的规定对采购人进行误期赔偿，误期时间自开工令签发后满 </w:t>
      </w:r>
      <w:r>
        <w:rPr>
          <w:rFonts w:hint="eastAsia" w:ascii="宋体" w:hAnsi="宋体"/>
          <w:color w:val="auto"/>
          <w:sz w:val="24"/>
          <w:highlight w:val="none"/>
        </w:rPr>
        <w:t xml:space="preserve">90天</w:t>
      </w:r>
      <w:r>
        <w:rPr>
          <w:rFonts w:ascii="宋体" w:hAnsi="宋体"/>
          <w:color w:val="auto"/>
          <w:sz w:val="24"/>
          <w:highlight w:val="none"/>
        </w:rPr>
        <w:t xml:space="preserve">的第2天起计算。工程施工完成后开始试运行，时间不少于</w:t>
      </w:r>
      <w:r>
        <w:rPr>
          <w:rFonts w:hint="eastAsia" w:ascii="宋体" w:hAnsi="宋体"/>
          <w:color w:val="auto"/>
          <w:sz w:val="24"/>
          <w:highlight w:val="none"/>
        </w:rPr>
        <w:t xml:space="preserve">1</w:t>
      </w:r>
      <w:r>
        <w:rPr>
          <w:rFonts w:ascii="宋体" w:hAnsi="宋体"/>
          <w:color w:val="auto"/>
          <w:sz w:val="24"/>
          <w:highlight w:val="none"/>
        </w:rPr>
        <w:t xml:space="preserve">个月。</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2.</w:t>
      </w:r>
      <w:r>
        <w:rPr>
          <w:rFonts w:ascii="宋体" w:hAnsi="宋体"/>
          <w:color w:val="auto"/>
          <w:sz w:val="24"/>
          <w:highlight w:val="none"/>
        </w:rPr>
        <w:t xml:space="preserve">2试运行阶段结束后15个工作日内，</w:t>
      </w:r>
      <w:r>
        <w:rPr>
          <w:rFonts w:hint="eastAsia" w:ascii="宋体" w:hAnsi="宋体"/>
          <w:color w:val="auto"/>
          <w:sz w:val="24"/>
          <w:highlight w:val="none"/>
          <w:lang w:eastAsia="zh-Hans"/>
        </w:rPr>
        <w:t xml:space="preserve">中标人向采购人申请终验</w:t>
      </w:r>
      <w:r>
        <w:rPr>
          <w:rFonts w:ascii="宋体" w:hAnsi="宋体"/>
          <w:color w:val="auto"/>
          <w:sz w:val="24"/>
          <w:highlight w:val="none"/>
        </w:rPr>
        <w:t xml:space="preserve">，验收合格后开始按审定金额分期支付工程款。如果经验收，该系统不合格，则视为中标人没有如期交付，中标人应根据本条第</w:t>
      </w:r>
      <w:r>
        <w:rPr>
          <w:rFonts w:hint="eastAsia" w:ascii="宋体" w:hAnsi="宋体"/>
          <w:color w:val="auto"/>
          <w:sz w:val="24"/>
          <w:highlight w:val="none"/>
        </w:rPr>
        <w:t xml:space="preserve">2.4</w:t>
      </w:r>
      <w:r>
        <w:rPr>
          <w:rFonts w:ascii="宋体" w:hAnsi="宋体"/>
          <w:color w:val="auto"/>
          <w:sz w:val="24"/>
          <w:highlight w:val="none"/>
        </w:rPr>
        <w:t xml:space="preserve">款的规定对采购人进行误期赔偿，误期时间自采购人向中标人发出书面的验收不合格通知的第二天起计算。</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2.</w:t>
      </w:r>
      <w:r>
        <w:rPr>
          <w:rFonts w:ascii="宋体" w:hAnsi="宋体"/>
          <w:color w:val="auto"/>
          <w:sz w:val="24"/>
          <w:highlight w:val="none"/>
        </w:rPr>
        <w:t xml:space="preserve">3中标人可根据自身条件和能力确定本项目的实施进度，但其进度安排不得迟于上述第</w:t>
      </w:r>
      <w:r>
        <w:rPr>
          <w:rFonts w:hint="eastAsia" w:ascii="宋体" w:hAnsi="宋体"/>
          <w:color w:val="auto"/>
          <w:sz w:val="24"/>
          <w:highlight w:val="none"/>
        </w:rPr>
        <w:t xml:space="preserve">2.1</w:t>
      </w:r>
      <w:r>
        <w:rPr>
          <w:rFonts w:ascii="宋体" w:hAnsi="宋体"/>
          <w:color w:val="auto"/>
          <w:sz w:val="24"/>
          <w:highlight w:val="none"/>
        </w:rPr>
        <w:t xml:space="preserve">和</w:t>
      </w:r>
      <w:r>
        <w:rPr>
          <w:rFonts w:hint="eastAsia" w:ascii="宋体" w:hAnsi="宋体"/>
          <w:color w:val="auto"/>
          <w:sz w:val="24"/>
          <w:highlight w:val="none"/>
        </w:rPr>
        <w:t xml:space="preserve">2.2</w:t>
      </w:r>
      <w:r>
        <w:rPr>
          <w:rFonts w:ascii="宋体" w:hAnsi="宋体"/>
          <w:color w:val="auto"/>
          <w:sz w:val="24"/>
          <w:highlight w:val="none"/>
        </w:rPr>
        <w:t xml:space="preserve">款的要求。中标人必须按照投标文件中承诺的实施进度完成项目，实施进度将作为评审的考虑因素之一。</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2.</w:t>
      </w:r>
      <w:r>
        <w:rPr>
          <w:rFonts w:ascii="宋体" w:hAnsi="宋体"/>
          <w:color w:val="auto"/>
          <w:sz w:val="24"/>
          <w:highlight w:val="none"/>
        </w:rPr>
        <w:t xml:space="preserve">4误期赔偿：如果中标人未能按确定的项目进度要求完成工作，中标人必须支付误期赔偿金，误期赔偿的支付将从应付款中扣除。误期赔偿费率为，每延迟1天，赔偿合同总额的0.05％（万分之五）。误期赔偿费的最高限额是合同金额的5％。一旦达到误期赔偿的最高限额，采购人有权终止合同，而中标人仍有义务支付上述误期赔偿，并承担赔偿采购人因中标人误期而产生的经济损失的责任。</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2.</w:t>
      </w:r>
      <w:r>
        <w:rPr>
          <w:rFonts w:ascii="宋体" w:hAnsi="宋体"/>
          <w:color w:val="auto"/>
          <w:sz w:val="24"/>
          <w:highlight w:val="none"/>
        </w:rPr>
        <w:t xml:space="preserve">5如果由于采购人的原因耽误了项目实施进度，则因此而延误的时间应从投标人的实施进度计划中扣除。在采购人的延误终止时，中标人的进度时间恢复计算。</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2.</w:t>
      </w:r>
      <w:r>
        <w:rPr>
          <w:rFonts w:ascii="宋体" w:hAnsi="宋体"/>
          <w:color w:val="auto"/>
          <w:sz w:val="24"/>
          <w:highlight w:val="none"/>
        </w:rPr>
        <w:t xml:space="preserve">6如果合同签定后采购人更改本项目的内容，则采购人和中标人可协商调整投标人的项目实施进度计划。调整后的进度计划应作为确定项目进度要求和计算误期赔偿的依据，对双方具有同等约束力。</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2.</w:t>
      </w:r>
      <w:r>
        <w:rPr>
          <w:rFonts w:ascii="宋体" w:hAnsi="宋体"/>
          <w:color w:val="auto"/>
          <w:sz w:val="24"/>
          <w:highlight w:val="none"/>
        </w:rPr>
        <w:t xml:space="preserve">7误期重叠：如果中标人在不止一个环节延误项目进度要求，则取其中延误时间最长的一项计算误期赔偿，多项延误不进行重复计算。</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2.</w:t>
      </w:r>
      <w:r>
        <w:rPr>
          <w:rFonts w:ascii="宋体" w:hAnsi="宋体"/>
          <w:color w:val="auto"/>
          <w:sz w:val="24"/>
          <w:highlight w:val="none"/>
        </w:rPr>
        <w:t xml:space="preserve">8本项目实施地点为江阴市。中标人应自行解决货物的仓储和保管。在本项目验收合格正式交付之前，仍处于实施中的本采购项目及其任何组成部分（包括任何硬件或软件），采购人不承担任何保管、管理的责任，也不承担任何人为或其他原因造成的损坏、灭失的风险。</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3</w:t>
      </w:r>
      <w:r>
        <w:rPr>
          <w:rFonts w:ascii="宋体" w:hAnsi="宋体"/>
          <w:b/>
          <w:color w:val="auto"/>
          <w:sz w:val="24"/>
          <w:highlight w:val="none"/>
        </w:rPr>
        <w:t xml:space="preserve">．付款方式</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合同签订后支付合同款的30%，通过终验并审计后付至审计款的90%，验收合格满5年付清尾款（剔除扣款后的金额）。</w:t>
      </w:r>
      <w:r/>
    </w:p>
    <w:p>
      <w:pPr>
        <w:ind w:firstLine="480"/>
        <w:spacing w:line="400" w:lineRule="exact"/>
        <w:rPr>
          <w:rFonts w:hint="eastAsia" w:ascii="宋体" w:hAnsi="宋体" w:eastAsiaTheme="minorEastAsia"/>
          <w:bCs/>
          <w:color w:val="auto"/>
          <w:sz w:val="24"/>
          <w:highlight w:val="none"/>
          <w:lang w:eastAsia="zh-CN"/>
        </w:rPr>
      </w:pPr>
      <w:r>
        <w:rPr>
          <w:rFonts w:hint="eastAsia" w:ascii="宋体" w:hAnsi="宋体"/>
          <w:bCs/>
          <w:color w:val="auto"/>
          <w:sz w:val="24"/>
          <w:highlight w:val="none"/>
        </w:rPr>
        <w:t xml:space="preserve">如本项目为中小企业中标，则付款方式按照《保障中小企业款项支付条例》（中华人民共和国国务院第802号）执行</w:t>
      </w:r>
      <w:r>
        <w:rPr>
          <w:rFonts w:hint="eastAsia" w:ascii="宋体" w:hAnsi="宋体"/>
          <w:bCs/>
          <w:color w:val="auto"/>
          <w:sz w:val="24"/>
          <w:highlight w:val="none"/>
          <w:lang w:eastAsia="zh-CN"/>
        </w:rPr>
        <w:t xml:space="preserve">。</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4</w:t>
      </w:r>
      <w:r>
        <w:rPr>
          <w:rFonts w:ascii="宋体" w:hAnsi="宋体"/>
          <w:b/>
          <w:color w:val="auto"/>
          <w:sz w:val="24"/>
          <w:highlight w:val="none"/>
        </w:rPr>
        <w:t xml:space="preserve">．安装、调试、质量监督及其他服务配备人员</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4.</w:t>
      </w:r>
      <w:r>
        <w:rPr>
          <w:rFonts w:ascii="宋体" w:hAnsi="宋体"/>
          <w:color w:val="auto"/>
          <w:sz w:val="24"/>
          <w:highlight w:val="none"/>
        </w:rPr>
        <w:t xml:space="preserve">1投标文件中应提供有关安装、调试、质量监督及其他服务所需人员（包括在本项目中负责的总部主管人员和现场负责人）的配备情况，说明其姓名、年龄、学历、职称、履历、以往从事过的类似项目以及在其中承担的责任、在本次采购项目中所承担的职责及最低服务时间，同时确认其服务应在本采购项目合同执行完毕后方告结束，所有其提供的服务均已包含在合同总价内，并在合同执行完毕后提供有效证明，否则视为违约。</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4.</w:t>
      </w:r>
      <w:r>
        <w:rPr>
          <w:rFonts w:ascii="宋体" w:hAnsi="宋体"/>
          <w:color w:val="auto"/>
          <w:sz w:val="24"/>
          <w:highlight w:val="none"/>
        </w:rPr>
        <w:t xml:space="preserve">2若参与本条所涉及的服务的人员因不可抗因素无法提供合同中所承诺的服务，中标人应提供同等资历的人员执行合同，该替代人员需获得采购人确认方可开始工作，否则视为违约。</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5</w:t>
      </w:r>
      <w:r>
        <w:rPr>
          <w:rFonts w:ascii="宋体" w:hAnsi="宋体"/>
          <w:b/>
          <w:color w:val="auto"/>
          <w:sz w:val="24"/>
          <w:highlight w:val="none"/>
        </w:rPr>
        <w:t xml:space="preserve">．工程服务</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5.</w:t>
      </w:r>
      <w:r>
        <w:rPr>
          <w:rFonts w:ascii="宋体" w:hAnsi="宋体"/>
          <w:color w:val="auto"/>
          <w:sz w:val="24"/>
          <w:highlight w:val="none"/>
        </w:rPr>
        <w:t xml:space="preserve">1投标人应根据自身条件和能力提交详细的工程服务计划。服务计划应包括提供服务的保障措施，如投标人有自已的维修队伍的，要求提供专业维修队伍的规模、业务经验、技术人员等详细情况。如果投标人与本项目所在地的某机构有合作协议，投标人必须提供该协议，并说明该合作伙伴的企业性质、规模、专业资质、业务经验、技术人员、财务状况等。</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5.</w:t>
      </w:r>
      <w:r>
        <w:rPr>
          <w:rFonts w:ascii="宋体" w:hAnsi="宋体"/>
          <w:color w:val="auto"/>
          <w:sz w:val="24"/>
          <w:highlight w:val="none"/>
        </w:rPr>
        <w:t xml:space="preserve">2本次采购的中标人必须服从</w:t>
      </w:r>
      <w:r>
        <w:rPr>
          <w:rFonts w:hint="eastAsia" w:ascii="宋体" w:hAnsi="宋体"/>
          <w:color w:val="auto"/>
          <w:sz w:val="24"/>
          <w:highlight w:val="none"/>
          <w:lang w:eastAsia="zh-Hans"/>
        </w:rPr>
        <w:t xml:space="preserve">采购方</w:t>
      </w:r>
      <w:r>
        <w:rPr>
          <w:rFonts w:ascii="宋体" w:hAnsi="宋体"/>
          <w:color w:val="auto"/>
          <w:sz w:val="24"/>
          <w:highlight w:val="none"/>
        </w:rPr>
        <w:t xml:space="preserve">的指挥，与其他相关系统承建商合作，以保证本次采购的设备安装和系统集成能顺利进行。中标人不得以任何理由拒绝与其他承建商合作，否则视为违约，采购人有权终止合同，并要求中标人赔偿所有直接和间接损失。</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5.</w:t>
      </w:r>
      <w:r>
        <w:rPr>
          <w:rFonts w:ascii="宋体" w:hAnsi="宋体"/>
          <w:color w:val="auto"/>
          <w:sz w:val="24"/>
          <w:highlight w:val="none"/>
        </w:rPr>
        <w:t xml:space="preserve">3投标人应保证所使用设备和软件的合法性，对系统应用软件，中标供应商必须具有自主知识产权。中标供应商提供的应用软件，竣工验收时必须向用户提供真实、可核查的软件源代码，数据库库表结构，接口函数的详细描述，用户方保证上述资料仅用于系统集成、维护和升级，不向第三方泄露。</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6</w:t>
      </w:r>
      <w:r>
        <w:rPr>
          <w:rFonts w:ascii="宋体" w:hAnsi="宋体"/>
          <w:b/>
          <w:color w:val="auto"/>
          <w:sz w:val="24"/>
          <w:highlight w:val="none"/>
        </w:rPr>
        <w:t xml:space="preserve">．技术文件</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投标人必须列出所有必须提供的技术文件，包括软硬件技术文件、安装测试文件、维护和操作文件、竣工资料以及其他必要的文件。</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7</w:t>
      </w:r>
      <w:r>
        <w:rPr>
          <w:rFonts w:ascii="宋体" w:hAnsi="宋体"/>
          <w:b/>
          <w:color w:val="auto"/>
          <w:sz w:val="24"/>
          <w:highlight w:val="none"/>
        </w:rPr>
        <w:t xml:space="preserve">．人员培训</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7.</w:t>
      </w:r>
      <w:r>
        <w:rPr>
          <w:rFonts w:ascii="宋体" w:hAnsi="宋体"/>
          <w:color w:val="auto"/>
          <w:sz w:val="24"/>
          <w:highlight w:val="none"/>
        </w:rPr>
        <w:t xml:space="preserve">1投标人应提交一份详细的培训计划，计划应包括详细的课程安排、授课师资配备、时间地点。投标人派出的培训教员应具有丰富的理论知识和相应实践经验。所有的培训教员必须用中文授课（如果教员不会讲中文，投标供应商必须提供中文翻译）。投标人必须为所有被培训人员提供有关培训文字资料和讲义等相关用品，所有的资料必须用中文书写。</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7.</w:t>
      </w:r>
      <w:r>
        <w:rPr>
          <w:rFonts w:ascii="宋体" w:hAnsi="宋体"/>
          <w:color w:val="auto"/>
          <w:sz w:val="24"/>
          <w:highlight w:val="none"/>
        </w:rPr>
        <w:t xml:space="preserve">2投标人在培训计划中必须列出培训的人数、地点和时间。投标人的培训计划在评审中将作为优惠条件进行考虑。</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8</w:t>
      </w:r>
      <w:r>
        <w:rPr>
          <w:rFonts w:ascii="宋体" w:hAnsi="宋体"/>
          <w:b/>
          <w:color w:val="auto"/>
          <w:sz w:val="24"/>
          <w:highlight w:val="none"/>
        </w:rPr>
        <w:t xml:space="preserve">．验收</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rPr>
        <w:t xml:space="preserve">8.</w:t>
      </w:r>
      <w:r>
        <w:rPr>
          <w:rFonts w:ascii="宋体" w:hAnsi="宋体"/>
          <w:color w:val="auto"/>
          <w:sz w:val="24"/>
          <w:highlight w:val="none"/>
        </w:rPr>
        <w:t xml:space="preserve">1投标文件中应提供一份验收计划，其中至少应包含以下内容：</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（1）验收单位；</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（2）验收流程；</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（3）验收所依据的标准；</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（4）验收所需的各种测试表格；</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（5）与验收有关的文档；</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（6）其他必要的内容。</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color w:val="auto"/>
          <w:sz w:val="24"/>
          <w:highlight w:val="none"/>
          <w:lang w:val="en-US" w:eastAsia="zh-CN"/>
        </w:rPr>
        <w:t xml:space="preserve">8.2</w:t>
      </w:r>
      <w:r>
        <w:rPr>
          <w:rFonts w:ascii="宋体" w:hAnsi="宋体"/>
          <w:color w:val="auto"/>
          <w:sz w:val="24"/>
          <w:highlight w:val="none"/>
        </w:rPr>
        <w:t xml:space="preserve">本项目的验收由采购单位按照国家规定的程序组织进行，依据是国家有关规定、投标文件、中标人的投标文件以及其他相关文件和资料</w:t>
      </w:r>
      <w:r>
        <w:rPr>
          <w:rFonts w:hint="eastAsia" w:ascii="宋体" w:hAnsi="宋体"/>
          <w:color w:val="auto"/>
          <w:sz w:val="24"/>
          <w:highlight w:val="none"/>
        </w:rPr>
        <w:t xml:space="preserve">，</w:t>
      </w:r>
      <w:r>
        <w:rPr>
          <w:rFonts w:ascii="宋体" w:hAnsi="宋体"/>
          <w:color w:val="auto"/>
          <w:sz w:val="24"/>
          <w:highlight w:val="none"/>
        </w:rPr>
        <w:t xml:space="preserve">所需验收费用由中标单位承担。</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9</w:t>
      </w:r>
      <w:r>
        <w:rPr>
          <w:rFonts w:ascii="宋体" w:hAnsi="宋体"/>
          <w:b/>
          <w:color w:val="auto"/>
          <w:sz w:val="24"/>
          <w:highlight w:val="none"/>
        </w:rPr>
        <w:t xml:space="preserve">．专利</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投标人应保证，采购人在使用其产品和服务的全部或任何部分时，免受第三方提出的侵犯专利权、商标权或工业设计权的起诉。</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10</w:t>
      </w:r>
      <w:r>
        <w:rPr>
          <w:rFonts w:ascii="宋体" w:hAnsi="宋体"/>
          <w:b/>
          <w:color w:val="auto"/>
          <w:sz w:val="24"/>
          <w:highlight w:val="none"/>
        </w:rPr>
        <w:t xml:space="preserve">．项目成果的所有权</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中标人在实施本项目过程中所完成的、与研究开发目标有关的项目成果，包括专利、二次开发系统的版权和软件著作权，由采购人和中标人双方共有</w:t>
      </w:r>
      <w:r>
        <w:rPr>
          <w:rFonts w:hint="eastAsia" w:ascii="宋体"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rPr>
        <w:t xml:space="preserve">中标</w:t>
      </w:r>
      <w:r>
        <w:rPr>
          <w:rFonts w:ascii="宋体" w:hAnsi="宋体"/>
          <w:color w:val="auto"/>
          <w:sz w:val="24"/>
          <w:highlight w:val="none"/>
        </w:rPr>
        <w:t xml:space="preserve">单位</w:t>
      </w:r>
      <w:r>
        <w:rPr>
          <w:rFonts w:hint="eastAsia" w:ascii="宋体" w:hAnsi="宋体"/>
          <w:color w:val="auto"/>
          <w:sz w:val="24"/>
          <w:highlight w:val="none"/>
        </w:rPr>
        <w:t xml:space="preserve">要申报</w:t>
      </w:r>
      <w:r>
        <w:rPr>
          <w:rFonts w:ascii="宋体" w:hAnsi="宋体"/>
          <w:color w:val="auto"/>
          <w:sz w:val="24"/>
          <w:highlight w:val="none"/>
        </w:rPr>
        <w:t xml:space="preserve">软件著作权</w:t>
      </w:r>
      <w:r>
        <w:rPr>
          <w:rFonts w:hint="eastAsia" w:ascii="宋体" w:hAnsi="宋体"/>
          <w:color w:val="auto"/>
          <w:sz w:val="24"/>
          <w:highlight w:val="none"/>
        </w:rPr>
        <w:t xml:space="preserve">至少1项</w:t>
      </w:r>
      <w:r>
        <w:rPr>
          <w:rFonts w:ascii="宋体" w:hAnsi="宋体"/>
          <w:color w:val="auto"/>
          <w:sz w:val="24"/>
          <w:highlight w:val="none"/>
        </w:rPr>
        <w:t xml:space="preserve">。</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11</w:t>
      </w:r>
      <w:r>
        <w:rPr>
          <w:rFonts w:ascii="宋体" w:hAnsi="宋体"/>
          <w:b/>
          <w:color w:val="auto"/>
          <w:sz w:val="24"/>
          <w:highlight w:val="none"/>
        </w:rPr>
        <w:t xml:space="preserve">．所有权的转移</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1本项目下买方已支付合同价的部分，其所有权在支付该部分合同价的同时转移至买方。在任何情况下，所有权的转移都不能影响本合同中有关项目交付以及风险责任的规定。</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2如果卖方在本合同履行完毕之前破产，本合同下买方已支付合同价，所有权已经转移的资产不得作为破产财产。</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．合同的构成</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投标文件、中标人的投标文件及其澄清文件、中标通知书以及双方签署的备忘录等，均为合同不可分割的部分，对双方具有约束力。</w:t>
      </w:r>
      <w:r/>
    </w:p>
    <w:p>
      <w:p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9.</w:t>
      </w: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．其他</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3</w:t>
      </w:r>
      <w:r>
        <w:rPr>
          <w:rFonts w:ascii="宋体" w:hAnsi="宋体"/>
          <w:color w:val="auto"/>
          <w:sz w:val="24"/>
          <w:highlight w:val="none"/>
        </w:rPr>
        <w:t xml:space="preserve">.1由于投标人的技术设计或其他原因所造成的额外费用，由投标人自行承担。如果采购人要求删除或增加功能，投标人应予合同金额中调整此部分差价，但是投标文件中的各项优惠条件保持不变。</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3</w:t>
      </w:r>
      <w:r>
        <w:rPr>
          <w:rFonts w:ascii="宋体" w:hAnsi="宋体"/>
          <w:color w:val="auto"/>
          <w:sz w:val="24"/>
          <w:highlight w:val="none"/>
        </w:rPr>
        <w:t xml:space="preserve">.2投标人如果有其他优惠条件，必须在投标文件中作专门说明。</w:t>
      </w:r>
      <w:r/>
    </w:p>
    <w:p>
      <w:pPr>
        <w:ind w:firstLine="480"/>
        <w:spacing w:line="400" w:lineRule="exact"/>
        <w:rPr>
          <w:rFonts w:hint="eastAsia" w:ascii="宋体" w:hAnsi="宋体"/>
          <w:color w:val="auto"/>
          <w:sz w:val="24"/>
          <w:highlight w:val="none"/>
        </w:rPr>
      </w:pPr>
      <w:r>
        <w:rPr>
          <w:rFonts w:hint="eastAsia" w:ascii="宋体" w:hAnsi="宋体"/>
          <w:b w:val="0"/>
          <w:bCs/>
          <w:color w:val="auto"/>
          <w:sz w:val="24"/>
          <w:highlight w:val="none"/>
          <w:lang w:val="en-US" w:eastAsia="zh-CN"/>
        </w:rPr>
        <w:t xml:space="preserve">9.</w:t>
      </w:r>
      <w:r>
        <w:rPr>
          <w:rFonts w:ascii="宋体" w:hAnsi="宋体"/>
          <w:color w:val="auto"/>
          <w:sz w:val="24"/>
          <w:highlight w:val="none"/>
        </w:rPr>
        <w:t xml:space="preserve">1</w:t>
      </w:r>
      <w:r>
        <w:rPr>
          <w:rFonts w:hint="eastAsia" w:ascii="宋体" w:hAnsi="宋体"/>
          <w:color w:val="auto"/>
          <w:sz w:val="24"/>
          <w:highlight w:val="none"/>
        </w:rPr>
        <w:t xml:space="preserve">3</w:t>
      </w:r>
      <w:r>
        <w:rPr>
          <w:rFonts w:ascii="宋体" w:hAnsi="宋体"/>
          <w:color w:val="auto"/>
          <w:sz w:val="24"/>
          <w:highlight w:val="none"/>
        </w:rPr>
        <w:t xml:space="preserve">.3以上条款的内容如果需要修改或者有其他未涉及的事项，应由合同双方协商解决。</w:t>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十、有关说明：</w:t>
      </w:r>
      <w:r/>
    </w:p>
    <w:p>
      <w:pPr>
        <w:pStyle w:val="914"/>
        <w:ind w:left="0" w:firstLine="0"/>
        <w:spacing w:line="4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 xml:space="preserve">10.</w:t>
      </w:r>
      <w:r>
        <w:rPr>
          <w:rFonts w:hint="eastAsia" w:asciiTheme="minorEastAsia" w:hAnsiTheme="minorEastAsia" w:eastAsiaTheme="minorEastAsia" w:cstheme="minorEastAsia"/>
          <w:b/>
          <w:bCs/>
          <w:color w:val="auto"/>
          <w:highlight w:val="none"/>
        </w:rPr>
        <w:t xml:space="preserve">1报价要求</w:t>
      </w:r>
      <w:r/>
    </w:p>
    <w:p>
      <w:pPr>
        <w:ind w:firstLine="480"/>
        <w:spacing w:line="400" w:lineRule="exact"/>
        <w:rPr>
          <w:rFonts w:hint="eastAsia" w:ascii="宋体" w:hAnsi="宋体"/>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rPr>
        <w:t xml:space="preserve">1.1报价总则</w:t>
      </w:r>
      <w:r>
        <w:rPr>
          <w:rFonts w:hint="eastAsia" w:ascii="宋体" w:hAnsi="宋体"/>
          <w:color w:val="auto"/>
          <w:sz w:val="24"/>
          <w:highlight w:val="none"/>
        </w:rPr>
        <w:t xml:space="preserve">：投标人应按人民币（元）报价，金额精确到小数点后两位，其报价中应包含从项目中标起到竣工验收后</w:t>
      </w:r>
      <w:r>
        <w:rPr>
          <w:rFonts w:hint="eastAsia" w:ascii="宋体" w:hAnsi="宋体"/>
          <w:color w:val="auto"/>
          <w:sz w:val="24"/>
          <w:highlight w:val="none"/>
          <w:lang w:eastAsia="zh-CN"/>
        </w:rPr>
        <w:t xml:space="preserve">五</w:t>
      </w:r>
      <w:r>
        <w:rPr>
          <w:rFonts w:hint="eastAsia" w:ascii="宋体" w:hAnsi="宋体"/>
          <w:color w:val="auto"/>
          <w:sz w:val="24"/>
          <w:highlight w:val="none"/>
        </w:rPr>
        <w:t xml:space="preserve">年基础维保期</w:t>
      </w:r>
      <w:r>
        <w:rPr>
          <w:rFonts w:hint="eastAsia" w:ascii="宋体" w:hAnsi="宋体"/>
          <w:color w:val="auto"/>
          <w:sz w:val="24"/>
          <w:highlight w:val="none"/>
          <w:lang w:eastAsia="zh-CN"/>
        </w:rPr>
        <w:t xml:space="preserve">及</w:t>
      </w:r>
      <w:r>
        <w:rPr>
          <w:rFonts w:hint="eastAsia" w:ascii="宋体" w:hAnsi="宋体"/>
          <w:color w:val="auto"/>
          <w:sz w:val="24"/>
          <w:highlight w:val="none"/>
        </w:rPr>
        <w:t xml:space="preserve">投标人</w:t>
      </w:r>
      <w:r>
        <w:rPr>
          <w:rFonts w:hint="eastAsia" w:ascii="宋体" w:hAnsi="宋体"/>
          <w:color w:val="auto"/>
          <w:sz w:val="24"/>
          <w:highlight w:val="none"/>
          <w:lang w:eastAsia="zh-CN"/>
        </w:rPr>
        <w:t xml:space="preserve">承诺延期免费维保期内</w:t>
      </w:r>
      <w:r>
        <w:rPr>
          <w:rFonts w:hint="eastAsia" w:ascii="宋体" w:hAnsi="宋体"/>
          <w:color w:val="auto"/>
          <w:sz w:val="24"/>
          <w:highlight w:val="none"/>
        </w:rPr>
        <w:t xml:space="preserve">维护系统正常运行所发生的一切费用。投标人必须以本章节</w:t>
      </w:r>
      <w:r>
        <w:rPr>
          <w:rFonts w:hint="eastAsia" w:ascii="宋体" w:hAnsi="宋体"/>
          <w:b/>
          <w:color w:val="auto"/>
          <w:sz w:val="24"/>
          <w:highlight w:val="none"/>
        </w:rPr>
        <w:t xml:space="preserve">第六项“六、采购清单</w:t>
      </w:r>
      <w:r>
        <w:rPr>
          <w:rFonts w:hint="eastAsia" w:ascii="宋体" w:hAnsi="宋体"/>
          <w:b/>
          <w:color w:val="auto"/>
          <w:sz w:val="24"/>
          <w:highlight w:val="none"/>
          <w:lang w:val="en-US" w:eastAsia="zh-CN"/>
        </w:rPr>
        <w:t xml:space="preserve">及要求</w:t>
      </w:r>
      <w:r>
        <w:rPr>
          <w:rFonts w:hint="eastAsia" w:ascii="宋体" w:hAnsi="宋体"/>
          <w:b/>
          <w:color w:val="auto"/>
          <w:sz w:val="24"/>
          <w:highlight w:val="none"/>
        </w:rPr>
        <w:t xml:space="preserve">”</w:t>
      </w:r>
      <w:r>
        <w:rPr>
          <w:rFonts w:hint="eastAsia" w:ascii="宋体" w:hAnsi="宋体"/>
          <w:color w:val="auto"/>
          <w:sz w:val="24"/>
          <w:highlight w:val="none"/>
        </w:rPr>
        <w:t xml:space="preserve">为基础，按投标文件中投标报价表的格式进行详细分项报价。投标人对一种货物</w:t>
      </w:r>
      <w:r>
        <w:rPr>
          <w:rFonts w:ascii="宋体" w:hAnsi="宋体"/>
          <w:color w:val="auto"/>
          <w:sz w:val="24"/>
          <w:highlight w:val="none"/>
        </w:rPr>
        <w:t xml:space="preserve">/</w:t>
      </w:r>
      <w:r>
        <w:rPr>
          <w:rFonts w:hint="eastAsia" w:ascii="宋体" w:hAnsi="宋体"/>
          <w:color w:val="auto"/>
          <w:sz w:val="24"/>
          <w:highlight w:val="none"/>
        </w:rPr>
        <w:t xml:space="preserve">服务只允许有一个报价，采购人不接受有任何选择的报价。</w:t>
      </w:r>
      <w:r/>
    </w:p>
    <w:p>
      <w:pPr>
        <w:ind w:firstLine="480"/>
        <w:spacing w:line="400" w:lineRule="exact"/>
        <w:rPr>
          <w:rFonts w:hint="eastAsia" w:ascii="宋体" w:hAnsi="宋体"/>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10.</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报价应包含根据清单中实际情况设计的设备安装、备品备件、专用工具、软件、所提供设备在项目中的安装调试及辅配件、系统的集成、培训、售后服务以及投标人在保证投标方案功能完整实现基础上认为应计入的其他所有费用；中标后，各实施项目基础环境没有发生重大变化时，</w:t>
      </w:r>
      <w:r>
        <w:rPr>
          <w:rFonts w:hint="eastAsia" w:ascii="宋体" w:hAnsi="宋体"/>
          <w:b/>
          <w:color w:val="auto"/>
          <w:sz w:val="24"/>
          <w:highlight w:val="none"/>
        </w:rPr>
        <w:t xml:space="preserve">中标人在满足招投标文件需求的前提下，不得以任何理由主动变更。</w:t>
      </w:r>
      <w:r/>
    </w:p>
    <w:p>
      <w:pPr>
        <w:ind w:firstLine="480"/>
        <w:spacing w:line="400" w:lineRule="exact"/>
        <w:rPr>
          <w:rFonts w:hint="eastAsia" w:ascii="宋体" w:hAnsi="宋体"/>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10.</w:t>
      </w: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本次投标工程量、单价及价格组成为清单中实施完成的最终结果，项目实施过程中中标人不得以任何理由主动变更。</w:t>
      </w:r>
      <w:r/>
    </w:p>
    <w:p>
      <w:pPr>
        <w:ind w:firstLine="480"/>
        <w:spacing w:line="400" w:lineRule="exact"/>
        <w:rPr>
          <w:rFonts w:hint="eastAsia" w:ascii="宋体" w:hAnsi="宋体"/>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10.</w:t>
      </w: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4</w:t>
      </w:r>
      <w:r>
        <w:rPr>
          <w:rFonts w:ascii="宋体" w:hAnsi="宋体"/>
          <w:color w:val="auto"/>
          <w:sz w:val="24"/>
          <w:highlight w:val="none"/>
        </w:rPr>
        <w:t xml:space="preserve"> </w:t>
      </w:r>
      <w:r>
        <w:rPr>
          <w:rFonts w:hint="eastAsia" w:ascii="宋体" w:hAnsi="宋体"/>
          <w:color w:val="auto"/>
          <w:sz w:val="24"/>
          <w:highlight w:val="none"/>
        </w:rPr>
        <w:t xml:space="preserve">投标文件中的详细设计方案由投标单位根据招标文件要求自行负责设计，在实施过程中发现不能满足招标文件设计要求的，中标方必须免费整改补足至达标为止，采购方不再另行支付费用。整改达标前，所有验收及付款手续暂停执行。</w:t>
      </w:r>
      <w:r/>
    </w:p>
    <w:p>
      <w:pPr>
        <w:pStyle w:val="872"/>
        <w:spacing w:line="400" w:lineRule="exact"/>
        <w:rPr>
          <w:rFonts w:hint="eastAsia" w:ascii="宋体" w:hAnsi="宋体" w:eastAsia="宋体" w:cs="宋体"/>
          <w:color w:val="auto"/>
          <w:spacing w:val="1"/>
          <w:sz w:val="24"/>
          <w:highlight w:val="none"/>
        </w:rPr>
      </w:pPr>
      <w:r>
        <w:rPr>
          <w:rFonts w:hint="eastAsia" w:ascii="宋体" w:hAnsi="宋体" w:eastAsia="宋体" w:cs="宋体"/>
          <w:color w:val="auto"/>
          <w:spacing w:val="1"/>
          <w:sz w:val="24"/>
          <w:highlight w:val="none"/>
          <w:lang w:val="en-US" w:eastAsia="zh-CN"/>
        </w:rPr>
        <w:t xml:space="preserve">10.</w:t>
      </w:r>
      <w:r>
        <w:rPr>
          <w:rFonts w:hint="eastAsia" w:ascii="宋体" w:hAnsi="宋体" w:eastAsia="宋体" w:cs="宋体"/>
          <w:color w:val="auto"/>
          <w:spacing w:val="1"/>
          <w:sz w:val="24"/>
          <w:highlight w:val="none"/>
        </w:rPr>
        <w:t xml:space="preserve">2涉及招标文件的补充说明或修正，均以江阴市</w:t>
      </w:r>
      <w:r>
        <w:rPr>
          <w:rFonts w:hint="eastAsia" w:ascii="宋体" w:hAnsi="宋体" w:eastAsia="宋体" w:cs="宋体"/>
          <w:color w:val="auto"/>
          <w:spacing w:val="1"/>
          <w:sz w:val="24"/>
          <w:highlight w:val="none"/>
          <w:lang w:val="en-US" w:eastAsia="zh-CN"/>
        </w:rPr>
        <w:t xml:space="preserve">政府采购</w:t>
      </w:r>
      <w:r>
        <w:rPr>
          <w:rFonts w:hint="eastAsia" w:ascii="宋体" w:hAnsi="宋体" w:eastAsia="宋体" w:cs="宋体"/>
          <w:color w:val="auto"/>
          <w:spacing w:val="1"/>
          <w:sz w:val="24"/>
          <w:highlight w:val="none"/>
        </w:rPr>
        <w:t xml:space="preserve">中心书面依据为准。</w:t>
      </w:r>
      <w:r/>
    </w:p>
    <w:p>
      <w:pPr>
        <w:pStyle w:val="872"/>
        <w:spacing w:line="400" w:lineRule="exact"/>
        <w:rPr>
          <w:rFonts w:hint="eastAsia" w:ascii="宋体" w:hAnsi="宋体"/>
          <w:b/>
          <w:color w:val="auto"/>
          <w:sz w:val="24"/>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宋体"/>
          <w:color w:val="auto"/>
          <w:spacing w:val="1"/>
          <w:sz w:val="24"/>
          <w:highlight w:val="none"/>
          <w:lang w:val="en-US" w:eastAsia="zh-CN"/>
        </w:rPr>
        <w:t xml:space="preserve">10.</w:t>
      </w:r>
      <w:r>
        <w:rPr>
          <w:rFonts w:hint="eastAsia" w:ascii="宋体" w:hAnsi="宋体" w:eastAsia="宋体" w:cs="宋体"/>
          <w:color w:val="auto"/>
          <w:spacing w:val="1"/>
          <w:sz w:val="24"/>
          <w:highlight w:val="none"/>
        </w:rPr>
        <w:t xml:space="preserve">3江阴市</w:t>
      </w:r>
      <w:r>
        <w:rPr>
          <w:rFonts w:hint="eastAsia" w:ascii="宋体" w:hAnsi="宋体" w:eastAsia="宋体" w:cs="宋体"/>
          <w:color w:val="auto"/>
          <w:spacing w:val="1"/>
          <w:sz w:val="24"/>
          <w:highlight w:val="none"/>
          <w:lang w:val="en-US" w:eastAsia="zh-CN"/>
        </w:rPr>
        <w:t xml:space="preserve">政府采购</w:t>
      </w:r>
      <w:r>
        <w:rPr>
          <w:rFonts w:hint="eastAsia" w:ascii="宋体" w:hAnsi="宋体" w:eastAsia="宋体" w:cs="宋体"/>
          <w:color w:val="auto"/>
          <w:spacing w:val="1"/>
          <w:sz w:val="24"/>
          <w:highlight w:val="none"/>
        </w:rPr>
        <w:t xml:space="preserve">中心对本次招标结果不作任何解释。</w:t>
      </w:r>
      <w:r/>
    </w:p>
    <w:p>
      <w:pPr>
        <w:jc w:val="both"/>
        <w:spacing w:line="400" w:lineRule="exact"/>
        <w:tabs>
          <w:tab w:val="left" w:pos="0" w:leader="none"/>
        </w:tabs>
        <w:rPr>
          <w:rStyle w:val="892"/>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Fonts w:ascii="黑体" w:hAnsi="黑体" w:eastAsia="黑体" w:cs="Times New Roman"/>
          <w:sz w:val="30"/>
          <w:szCs w:val="30"/>
          <w:highlight w:val="none"/>
        </w:rPr>
        <w:outlineLvl w:val="0"/>
      </w:pPr>
      <w:r/>
      <w:bookmarkStart w:id="27" w:name="_Toc10076"/>
      <w:r>
        <w:rPr>
          <w:rFonts w:hint="eastAsia" w:ascii="黑体" w:hAnsi="黑体" w:eastAsia="黑体" w:cs="Times New Roman"/>
          <w:bCs/>
          <w:sz w:val="30"/>
          <w:szCs w:val="30"/>
          <w:highlight w:val="none"/>
        </w:rPr>
        <w:t xml:space="preserve">第四章</w:t>
      </w:r>
      <w:r>
        <w:rPr>
          <w:rFonts w:hint="eastAsia" w:ascii="Calibri" w:hAnsi="Calibri" w:eastAsia="宋体" w:cs="Times New Roman"/>
          <w:highlight w:val="none"/>
        </w:rPr>
        <w:t xml:space="preserve"> 　</w:t>
      </w:r>
      <w:r>
        <w:rPr>
          <w:rFonts w:hint="eastAsia" w:ascii="黑体" w:hAnsi="黑体" w:eastAsia="黑体" w:cs="Times New Roman"/>
          <w:bCs/>
          <w:sz w:val="30"/>
          <w:szCs w:val="30"/>
          <w:highlight w:val="none"/>
        </w:rPr>
        <w:t xml:space="preserve">评标方法和评标标准</w:t>
      </w:r>
      <w:bookmarkEnd w:id="27"/>
      <w:r/>
      <w:r/>
    </w:p>
    <w:p>
      <w:pPr>
        <w:ind w:firstLine="480"/>
        <w:spacing w:line="400" w:lineRule="exact"/>
        <w:rPr>
          <w:rFonts w:ascii="楷体_GB2312" w:eastAsia="楷体_GB2312"/>
          <w:color w:val="auto"/>
          <w:sz w:val="24"/>
          <w:highlight w:val="none"/>
        </w:rPr>
        <w:outlineLvl w:val="9"/>
      </w:pPr>
      <w:r>
        <w:rPr>
          <w:rFonts w:ascii="楷体_GB2312" w:eastAsia="楷体_GB2312"/>
          <w:color w:val="auto"/>
          <w:sz w:val="24"/>
          <w:highlight w:val="none"/>
        </w:rPr>
      </w:r>
      <w:r/>
    </w:p>
    <w:p>
      <w:pPr>
        <w:jc w:val="left"/>
        <w:spacing w:line="6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一、评标方法</w:t>
      </w:r>
      <w:r/>
    </w:p>
    <w:p>
      <w:pPr>
        <w:ind w:firstLine="480"/>
        <w:jc w:val="left"/>
        <w:keepLines w:val="0"/>
        <w:keepNext w:val="0"/>
        <w:pageBreakBefore w:val="0"/>
        <w:spacing w:line="400" w:lineRule="exact"/>
        <w:widowControl w:val="off"/>
        <w:rPr>
          <w:rFonts w:hint="eastAsia" w:asciiTheme="minorEastAsia" w:hAnsiTheme="minorEastAsia" w:eastAsiaTheme="minorEastAsia"/>
          <w:color w:val="auto"/>
          <w:sz w:val="24"/>
          <w:highlight w:val="none"/>
        </w:rPr>
        <w:outlineLvl w:val="9"/>
      </w:pPr>
      <w:r>
        <w:rPr>
          <w:rFonts w:hint="eastAsia" w:asciiTheme="minorEastAsia" w:hAnsiTheme="minorEastAsia" w:eastAsiaTheme="minorEastAsia"/>
          <w:color w:val="auto"/>
          <w:sz w:val="24"/>
          <w:highlight w:val="none"/>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p>
    <w:p>
      <w:pPr>
        <w:ind w:firstLine="480"/>
        <w:jc w:val="left"/>
        <w:keepLines w:val="0"/>
        <w:keepNext w:val="0"/>
        <w:pageBreakBefore w:val="0"/>
        <w:spacing w:line="400" w:lineRule="exact"/>
        <w:widowControl w:val="off"/>
        <w:rPr>
          <w:rFonts w:hint="eastAsia" w:asciiTheme="minorEastAsia" w:hAnsiTheme="minorEastAsia" w:eastAsiaTheme="minorEastAsia"/>
          <w:color w:val="auto"/>
          <w:sz w:val="24"/>
          <w:highlight w:val="none"/>
        </w:rPr>
        <w:outlineLvl w:val="9"/>
      </w:pPr>
      <w:r>
        <w:rPr>
          <w:rFonts w:hint="eastAsia" w:asciiTheme="minorEastAsia" w:hAnsiTheme="minorEastAsia" w:eastAsiaTheme="minorEastAsia"/>
          <w:color w:val="auto"/>
          <w:sz w:val="24"/>
          <w:highlight w:val="none"/>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jc w:val="left"/>
        <w:keepLines w:val="0"/>
        <w:keepNext w:val="0"/>
        <w:pageBreakBefore w:val="0"/>
        <w:spacing w:line="400" w:lineRule="exact"/>
        <w:widowControl w:val="off"/>
        <w:rPr>
          <w:rFonts w:hint="eastAsia" w:ascii="黑体" w:hAnsi="黑体" w:eastAsia="黑体"/>
          <w:color w:val="auto"/>
          <w:sz w:val="28"/>
          <w:szCs w:val="28"/>
          <w:highlight w:val="none"/>
        </w:rPr>
        <w:outlineLvl w:val="9"/>
      </w:pPr>
      <w:r>
        <w:rPr>
          <w:rFonts w:hint="eastAsia" w:asciiTheme="minorEastAsia" w:hAnsiTheme="minorEastAsia" w:eastAsiaTheme="minorEastAsia"/>
          <w:color w:val="auto"/>
          <w:sz w:val="24"/>
          <w:highlight w:val="none"/>
        </w:rPr>
        <w:t xml:space="preserve">注：每部分的得分保留小数点后两位，合计得分保留小数点后两位。</w:t>
      </w:r>
      <w:r/>
    </w:p>
    <w:p>
      <w:pPr>
        <w:jc w:val="left"/>
        <w:spacing w:line="6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二、评分标准</w:t>
      </w:r>
      <w:r/>
    </w:p>
    <w:tbl>
      <w:tblPr>
        <w:tblStyle w:val="867"/>
        <w:tblW w:w="938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19"/>
        <w:gridCol w:w="854"/>
        <w:gridCol w:w="1286"/>
        <w:gridCol w:w="5358"/>
        <w:gridCol w:w="669"/>
      </w:tblGrid>
      <w:tr>
        <w:trPr>
          <w:jc w:val="center"/>
          <w:tblHeader/>
        </w:trPr>
        <w:tc>
          <w:tcPr>
            <w:tcBorders>
              <w:top w:val="single" w:color="auto" w:sz="8" w:space="0"/>
              <w:left w:val="single" w:color="auto" w:sz="8" w:space="0"/>
              <w:bottom w:val="single" w:color="auto" w:sz="6" w:space="0"/>
              <w:right w:val="single" w:color="auto" w:sz="6" w:space="0"/>
            </w:tcBorders>
            <w:tcW w:w="1219" w:type="dxa"/>
            <w:textDirection w:val="lrTb"/>
            <w:noWrap w:val="false"/>
          </w:tcPr>
          <w:p>
            <w:pPr>
              <w:ind w:right="-61"/>
              <w:jc w:val="center"/>
              <w:spacing w:line="400" w:lineRule="exact"/>
              <w:rPr>
                <w:rFonts w:ascii="宋体" w:hAnsi="宋体" w:cs="宋体"/>
                <w:b/>
                <w:sz w:val="24"/>
                <w:highlight w:val="none"/>
              </w:rPr>
            </w:pPr>
            <w:r>
              <w:rPr>
                <w:rFonts w:hint="eastAsia" w:ascii="宋体" w:hAnsi="宋体" w:cs="宋体"/>
                <w:b/>
                <w:sz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854" w:type="dxa"/>
            <w:textDirection w:val="lrTb"/>
            <w:noWrap w:val="false"/>
          </w:tcPr>
          <w:p>
            <w:pPr>
              <w:ind w:right="-61"/>
              <w:jc w:val="center"/>
              <w:spacing w:line="400" w:lineRule="exact"/>
              <w:rPr>
                <w:rFonts w:ascii="宋体" w:hAnsi="宋体" w:cs="宋体"/>
                <w:b/>
                <w:sz w:val="24"/>
                <w:highlight w:val="none"/>
              </w:rPr>
            </w:pPr>
            <w:r>
              <w:rPr>
                <w:rFonts w:hint="eastAsia" w:ascii="宋体" w:hAnsi="宋体" w:cs="宋体"/>
                <w:b/>
                <w:sz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86" w:type="dxa"/>
            <w:textDirection w:val="lrTb"/>
            <w:noWrap w:val="false"/>
          </w:tcPr>
          <w:p>
            <w:pPr>
              <w:ind w:right="-61"/>
              <w:jc w:val="center"/>
              <w:spacing w:line="400" w:lineRule="exact"/>
              <w:rPr>
                <w:rFonts w:ascii="宋体" w:hAnsi="宋体" w:cs="宋体"/>
                <w:b/>
                <w:sz w:val="24"/>
                <w:highlight w:val="none"/>
              </w:rPr>
            </w:pPr>
            <w:r>
              <w:rPr>
                <w:rFonts w:hint="eastAsia" w:ascii="宋体" w:hAnsi="宋体" w:cs="宋体"/>
                <w:b/>
                <w:sz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5358" w:type="dxa"/>
            <w:textDirection w:val="lrTb"/>
            <w:noWrap w:val="false"/>
          </w:tcPr>
          <w:p>
            <w:pPr>
              <w:ind w:right="-61"/>
              <w:jc w:val="center"/>
              <w:spacing w:line="400" w:lineRule="exact"/>
              <w:rPr>
                <w:rFonts w:ascii="宋体" w:hAnsi="宋体" w:cs="宋体"/>
                <w:b/>
                <w:sz w:val="24"/>
                <w:highlight w:val="none"/>
              </w:rPr>
            </w:pPr>
            <w:r>
              <w:rPr>
                <w:rFonts w:hint="eastAsia" w:ascii="宋体" w:hAnsi="宋体" w:cs="宋体"/>
                <w:b/>
                <w:sz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669" w:type="dxa"/>
            <w:textDirection w:val="lrTb"/>
            <w:noWrap w:val="false"/>
          </w:tcPr>
          <w:p>
            <w:pPr>
              <w:ind w:right="-61"/>
              <w:jc w:val="center"/>
              <w:spacing w:line="400" w:lineRule="exact"/>
              <w:rPr>
                <w:rFonts w:ascii="宋体" w:hAnsi="宋体" w:cs="宋体"/>
                <w:b/>
                <w:sz w:val="24"/>
                <w:highlight w:val="none"/>
              </w:rPr>
            </w:pPr>
            <w:r>
              <w:rPr>
                <w:rFonts w:hint="eastAsia" w:ascii="宋体" w:hAnsi="宋体" w:cs="宋体"/>
                <w:b/>
                <w:sz w:val="24"/>
                <w:highlight w:val="none"/>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1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一、价格部分</w:t>
            </w:r>
            <w:r/>
          </w:p>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（30分）</w:t>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1.1</w:t>
            </w:r>
            <w:r/>
          </w:p>
        </w:tc>
        <w:tc>
          <w:tcPr>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ind w:right="-61"/>
              <w:spacing w:line="400" w:lineRule="exact"/>
              <w:rPr>
                <w:rFonts w:ascii="宋体" w:hAnsi="宋体" w:cs="宋体"/>
                <w:sz w:val="24"/>
                <w:highlight w:val="none"/>
              </w:rPr>
            </w:pPr>
            <w:r>
              <w:rPr>
                <w:rFonts w:hint="eastAsia" w:ascii="宋体" w:hAnsi="宋体" w:cs="宋体"/>
                <w:sz w:val="24"/>
                <w:highlight w:val="none"/>
              </w:rPr>
              <w:t xml:space="preserve">满足招标文件要求且投标报价最低的投标报价为评标基准价，其价格为满分。其他投标人的价格分按照下列公式计算：</w:t>
            </w:r>
            <w:r/>
          </w:p>
          <w:p>
            <w:pPr>
              <w:ind w:right="-61"/>
              <w:spacing w:line="400" w:lineRule="exact"/>
              <w:rPr>
                <w:rFonts w:ascii="宋体" w:hAnsi="宋体" w:cs="宋体"/>
                <w:sz w:val="24"/>
                <w:highlight w:val="none"/>
              </w:rPr>
            </w:pPr>
            <w:r>
              <w:rPr>
                <w:rFonts w:hint="eastAsia" w:ascii="宋体" w:hAnsi="宋体" w:cs="宋体"/>
                <w:sz w:val="24"/>
                <w:highlight w:val="none"/>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30</w:t>
            </w:r>
            <w:r/>
          </w:p>
        </w:tc>
      </w:tr>
      <w:tr>
        <w:trPr>
          <w:jc w:val="center"/>
          <w:trHeight w:val="3012"/>
        </w:trPr>
        <w:tc>
          <w:tcPr>
            <w:tcBorders>
              <w:top w:val="single" w:color="auto" w:sz="6" w:space="0"/>
              <w:left w:val="single" w:color="auto" w:sz="8" w:space="0"/>
              <w:bottom w:val="single" w:color="auto" w:sz="6" w:space="0"/>
              <w:right w:val="single" w:color="auto" w:sz="6" w:space="0"/>
            </w:tcBorders>
            <w:tcW w:w="1219" w:type="dxa"/>
            <w:vAlign w:val="center"/>
            <w:vMerge w:val="restart"/>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二、技术部分</w:t>
            </w:r>
            <w:r/>
          </w:p>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50</w:t>
            </w:r>
            <w:r>
              <w:rPr>
                <w:rFonts w:hint="eastAsia" w:ascii="宋体" w:hAnsi="宋体" w:cs="宋体"/>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2.1</w:t>
            </w:r>
            <w:r/>
          </w:p>
        </w:tc>
        <w:tc>
          <w:tcPr>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技术性能指标响应情况</w:t>
            </w:r>
            <w:r/>
          </w:p>
        </w:tc>
        <w:tc>
          <w:tcPr>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spacing w:line="400" w:lineRule="exact"/>
              <w:rPr>
                <w:rFonts w:ascii="宋体" w:hAnsi="宋体" w:cs="宋体"/>
                <w:b/>
                <w:bCs/>
                <w:sz w:val="24"/>
                <w:highlight w:val="none"/>
              </w:rPr>
            </w:pPr>
            <w:r>
              <w:rPr>
                <w:rFonts w:hint="eastAsia" w:ascii="宋体" w:hAnsi="宋体" w:cs="宋体"/>
                <w:sz w:val="24"/>
                <w:highlight w:val="none"/>
              </w:rPr>
              <w:t xml:space="preserve">根据《详细配置一览表》、《技术要求响应偏离表》 等对所投产品的主要技术指标的性能、技术参数的响应情况进行评审打分：全部符合招标文件要求，无负偏离得28，打“</w:t>
            </w:r>
            <w:r>
              <w:rPr>
                <w:rFonts w:hint="eastAsia" w:ascii="宋体" w:hAnsi="宋体"/>
                <w:sz w:val="24"/>
                <w:highlight w:val="none"/>
              </w:rPr>
              <w:t xml:space="preserve">▲</w:t>
            </w:r>
            <w:r>
              <w:rPr>
                <w:rFonts w:hint="eastAsia" w:ascii="宋体" w:hAnsi="宋体" w:cs="宋体"/>
                <w:sz w:val="24"/>
                <w:highlight w:val="none"/>
              </w:rPr>
              <w:t xml:space="preserve">”项为重要性能参数指标，每一项负偏离扣1分；非打“</w:t>
            </w:r>
            <w:r>
              <w:rPr>
                <w:rFonts w:hint="eastAsia" w:ascii="宋体" w:hAnsi="宋体"/>
                <w:sz w:val="24"/>
                <w:highlight w:val="none"/>
              </w:rPr>
              <w:t xml:space="preserve">▲</w:t>
            </w:r>
            <w:r>
              <w:rPr>
                <w:rFonts w:hint="eastAsia" w:ascii="宋体" w:hAnsi="宋体" w:cs="宋体"/>
                <w:sz w:val="24"/>
                <w:highlight w:val="none"/>
              </w:rPr>
              <w:t xml:space="preserve">”项有一项负偏离扣0.5分，扣完为止。</w:t>
            </w:r>
            <w:r>
              <w:rPr>
                <w:rFonts w:hint="eastAsia" w:ascii="宋体" w:hAnsi="宋体" w:cs="宋体"/>
                <w:b/>
                <w:bCs/>
                <w:sz w:val="24"/>
                <w:highlight w:val="none"/>
              </w:rPr>
              <w:t xml:space="preserve">(未按要求提供证明材料的视为负偏离）</w:t>
            </w:r>
            <w:r/>
          </w:p>
        </w:tc>
        <w:tc>
          <w:tcPr>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28</w:t>
            </w:r>
            <w:r/>
          </w:p>
        </w:tc>
      </w:tr>
      <w:tr>
        <w:trPr>
          <w:jc w:val="center"/>
        </w:trPr>
        <w:tc>
          <w:tcPr>
            <w:tcBorders>
              <w:top w:val="single" w:color="auto" w:sz="6" w:space="0"/>
              <w:left w:val="single" w:color="auto" w:sz="8" w:space="0"/>
              <w:bottom w:val="single" w:color="auto" w:sz="6"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2.2</w:t>
            </w:r>
            <w:r/>
          </w:p>
        </w:tc>
        <w:tc>
          <w:tcPr>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技术方案</w:t>
            </w:r>
            <w:r/>
          </w:p>
        </w:tc>
        <w:tc>
          <w:tcPr>
            <w:tcW w:w="5358" w:type="dxa"/>
            <w:vAlign w:val="center"/>
            <w:textDirection w:val="lrTb"/>
            <w:noWrap w:val="false"/>
          </w:tcPr>
          <w:p>
            <w:pPr>
              <w:spacing w:line="400" w:lineRule="exact"/>
              <w:rPr>
                <w:rFonts w:ascii="宋体" w:hAnsi="宋体" w:cs="宋体"/>
                <w:sz w:val="24"/>
                <w:highlight w:val="none"/>
              </w:rPr>
            </w:pPr>
            <w:r>
              <w:rPr>
                <w:rFonts w:hint="eastAsia" w:ascii="宋体" w:hAnsi="宋体" w:cs="宋体"/>
                <w:sz w:val="24"/>
                <w:highlight w:val="none"/>
              </w:rPr>
              <w:t xml:space="preserve">投标人针对本项目提供设计方案，包括①新建LED大屏及显控系统、</w:t>
            </w:r>
            <w:r>
              <w:rPr>
                <w:rFonts w:hint="eastAsia" w:ascii="宋体" w:hAnsi="宋体" w:cs="宋体"/>
                <w:sz w:val="24"/>
                <w:szCs w:val="24"/>
                <w:highlight w:val="none"/>
              </w:rPr>
              <w:t xml:space="preserve">指挥大厅光纤线路改造</w:t>
            </w:r>
            <w:r>
              <w:rPr>
                <w:rFonts w:hint="eastAsia" w:ascii="宋体" w:hAnsi="宋体" w:cs="宋体"/>
                <w:sz w:val="24"/>
                <w:highlight w:val="none"/>
              </w:rPr>
              <w:t xml:space="preserve">设计</w:t>
            </w:r>
            <w:r>
              <w:rPr>
                <w:rFonts w:hint="eastAsia" w:ascii="宋体" w:hAnsi="宋体" w:cs="宋体"/>
                <w:sz w:val="24"/>
                <w:highlight w:val="none"/>
                <w:lang w:eastAsia="zh-CN"/>
              </w:rPr>
              <w:t xml:space="preserve">；</w:t>
            </w:r>
            <w:r>
              <w:rPr>
                <w:rFonts w:hint="eastAsia" w:ascii="宋体" w:hAnsi="宋体" w:cs="宋体"/>
                <w:sz w:val="24"/>
                <w:highlight w:val="none"/>
              </w:rPr>
              <w:t xml:space="preserve">②</w:t>
            </w:r>
            <w:r>
              <w:rPr>
                <w:rFonts w:hint="eastAsia" w:ascii="宋体" w:hAnsi="宋体" w:cs="宋体"/>
                <w:sz w:val="24"/>
                <w:szCs w:val="24"/>
                <w:highlight w:val="none"/>
              </w:rPr>
              <w:t xml:space="preserve">工位</w:t>
            </w:r>
            <w:r>
              <w:rPr>
                <w:rFonts w:hint="eastAsia" w:ascii="宋体" w:hAnsi="宋体" w:cs="宋体"/>
                <w:sz w:val="24"/>
                <w:highlight w:val="none"/>
              </w:rPr>
              <w:t xml:space="preserve">坐席</w:t>
            </w:r>
            <w:r>
              <w:rPr>
                <w:rFonts w:hint="eastAsia" w:ascii="宋体" w:hAnsi="宋体" w:cs="宋体"/>
                <w:sz w:val="24"/>
                <w:szCs w:val="24"/>
                <w:highlight w:val="none"/>
              </w:rPr>
              <w:t xml:space="preserve">改造</w:t>
            </w:r>
            <w:r>
              <w:rPr>
                <w:rFonts w:hint="eastAsia" w:ascii="宋体" w:hAnsi="宋体" w:cs="宋体"/>
                <w:sz w:val="24"/>
                <w:highlight w:val="none"/>
              </w:rPr>
              <w:t xml:space="preserve">及大厅顶面、地面装饰修补设计</w:t>
            </w:r>
            <w:r>
              <w:rPr>
                <w:rFonts w:hint="eastAsia" w:ascii="宋体" w:hAnsi="宋体" w:cs="宋体"/>
                <w:sz w:val="24"/>
                <w:highlight w:val="none"/>
                <w:lang w:eastAsia="zh-CN"/>
              </w:rPr>
              <w:t xml:space="preserve">；</w:t>
            </w:r>
            <w:r>
              <w:rPr>
                <w:rFonts w:hint="eastAsia" w:ascii="宋体" w:hAnsi="宋体" w:cs="宋体"/>
                <w:sz w:val="24"/>
                <w:highlight w:val="none"/>
              </w:rPr>
              <w:t xml:space="preserve">③施工前</w:t>
            </w:r>
            <w:r>
              <w:rPr>
                <w:rFonts w:hint="eastAsia" w:ascii="宋体" w:hAnsi="宋体" w:cs="宋体"/>
                <w:sz w:val="24"/>
                <w:szCs w:val="24"/>
                <w:highlight w:val="none"/>
              </w:rPr>
              <w:t xml:space="preserve">指挥席位、办公区迁移及</w:t>
            </w:r>
            <w:r>
              <w:rPr>
                <w:rFonts w:hint="eastAsia" w:ascii="宋体" w:hAnsi="宋体" w:cs="宋体"/>
                <w:sz w:val="24"/>
                <w:highlight w:val="none"/>
              </w:rPr>
              <w:t xml:space="preserve">原DL</w:t>
            </w:r>
            <w:r>
              <w:rPr>
                <w:rFonts w:ascii="宋体" w:hAnsi="宋体" w:cs="宋体"/>
                <w:sz w:val="24"/>
                <w:highlight w:val="none"/>
              </w:rPr>
              <w:t xml:space="preserve">P</w:t>
            </w:r>
            <w:r>
              <w:rPr>
                <w:rFonts w:hint="eastAsia" w:ascii="宋体" w:hAnsi="宋体" w:cs="宋体"/>
                <w:sz w:val="24"/>
                <w:highlight w:val="none"/>
              </w:rPr>
              <w:t xml:space="preserve">大屏拆除、</w:t>
            </w:r>
            <w:r>
              <w:rPr>
                <w:rFonts w:hint="eastAsia" w:ascii="宋体" w:hAnsi="宋体" w:cs="宋体"/>
                <w:sz w:val="24"/>
                <w:szCs w:val="24"/>
                <w:highlight w:val="none"/>
              </w:rPr>
              <w:t xml:space="preserve">施工后恢复设计</w:t>
            </w:r>
            <w:r>
              <w:rPr>
                <w:rFonts w:hint="eastAsia" w:ascii="宋体" w:hAnsi="宋体" w:cs="宋体"/>
                <w:sz w:val="24"/>
                <w:szCs w:val="24"/>
                <w:highlight w:val="none"/>
                <w:lang w:eastAsia="zh-CN"/>
              </w:rPr>
              <w:t xml:space="preserve">；</w:t>
            </w:r>
            <w:r>
              <w:rPr>
                <w:rFonts w:hint="eastAsia" w:ascii="华文仿宋" w:hAnsi="华文仿宋" w:eastAsia="华文仿宋" w:cs="华文仿宋"/>
                <w:sz w:val="24"/>
                <w:highlight w:val="none"/>
              </w:rPr>
              <w:t xml:space="preserve">④</w:t>
            </w:r>
            <w:r>
              <w:rPr>
                <w:rFonts w:hint="eastAsia" w:ascii="宋体" w:hAnsi="宋体" w:cs="宋体"/>
                <w:sz w:val="24"/>
                <w:highlight w:val="none"/>
              </w:rPr>
              <w:t xml:space="preserve">视频会议、终端设备选型及联网使用要求</w:t>
            </w:r>
            <w:r>
              <w:rPr>
                <w:rFonts w:hint="eastAsia" w:ascii="宋体" w:hAnsi="宋体" w:cs="宋体"/>
                <w:sz w:val="24"/>
                <w:szCs w:val="24"/>
                <w:highlight w:val="none"/>
              </w:rPr>
              <w:t xml:space="preserve">和机房整理设计</w:t>
            </w:r>
            <w:r>
              <w:rPr>
                <w:rFonts w:hint="eastAsia" w:ascii="宋体" w:hAnsi="宋体" w:cs="宋体"/>
                <w:sz w:val="24"/>
                <w:highlight w:val="none"/>
              </w:rPr>
              <w:t xml:space="preserve">等，方案内容描述全面合理符合采购需求的得4分，每有一项内容缺失的扣1分；每有一项内容存在缺陷或不满足要求的扣0.5分，扣完为止。</w:t>
            </w:r>
            <w:r/>
          </w:p>
          <w:p>
            <w:pPr>
              <w:ind w:right="-61"/>
              <w:spacing w:line="400" w:lineRule="exact"/>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4</w:t>
            </w:r>
            <w:r/>
          </w:p>
        </w:tc>
      </w:tr>
      <w:tr>
        <w:trPr>
          <w:jc w:val="center"/>
        </w:trPr>
        <w:tc>
          <w:tcPr>
            <w:tcBorders>
              <w:top w:val="single" w:color="auto" w:sz="6" w:space="0"/>
              <w:left w:val="single" w:color="auto" w:sz="8" w:space="0"/>
              <w:bottom w:val="single" w:color="auto" w:sz="6"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2.3</w:t>
            </w:r>
            <w:r/>
          </w:p>
        </w:tc>
        <w:tc>
          <w:tcPr>
            <w:tcW w:w="1286" w:type="dxa"/>
            <w:vAlign w:val="center"/>
            <w:textDirection w:val="lrTb"/>
            <w:noWrap w:val="false"/>
          </w:tcPr>
          <w:p>
            <w:pPr>
              <w:ind w:right="-61"/>
              <w:jc w:val="center"/>
              <w:spacing w:line="400" w:lineRule="exact"/>
              <w:tabs>
                <w:tab w:val="left" w:pos="851" w:leader="none"/>
              </w:tabs>
              <w:rPr>
                <w:rFonts w:ascii="宋体" w:hAnsi="宋体" w:cs="宋体"/>
                <w:sz w:val="24"/>
                <w:highlight w:val="none"/>
              </w:rPr>
            </w:pPr>
            <w:r>
              <w:rPr>
                <w:rFonts w:hint="eastAsia" w:ascii="宋体" w:hAnsi="宋体" w:cs="宋体"/>
                <w:sz w:val="24"/>
                <w:highlight w:val="none"/>
              </w:rPr>
              <w:t xml:space="preserve">平台无缝对接方案</w:t>
            </w:r>
            <w:r/>
          </w:p>
        </w:tc>
        <w:tc>
          <w:tcPr>
            <w:tcW w:w="5358" w:type="dxa"/>
            <w:vAlign w:val="center"/>
            <w:textDirection w:val="lrTb"/>
            <w:noWrap w:val="false"/>
          </w:tcPr>
          <w:p>
            <w:pPr>
              <w:keepLines/>
              <w:keepNext/>
              <w:spacing w:line="400" w:lineRule="exact"/>
              <w:rPr>
                <w:rFonts w:ascii="宋体" w:hAnsi="宋体" w:cs="宋体"/>
                <w:sz w:val="24"/>
                <w:highlight w:val="none"/>
              </w:rPr>
              <w:outlineLvl w:val="3"/>
            </w:pPr>
            <w:r>
              <w:rPr>
                <w:rFonts w:hint="eastAsia" w:ascii="宋体" w:hAnsi="宋体" w:cs="宋体"/>
                <w:sz w:val="24"/>
                <w:highlight w:val="none"/>
              </w:rPr>
              <w:t xml:space="preserve">投标人针对本项目所建设内容需与现有公安高清视频会议系统、一键点调指挥系统以及公安各类视频业务系统平台功能无缝对接，提供的系统无缝衔接方案，包括①公安现用各系统平台主要功能特点及整体架构、与设备选型相关的业务功能及使用要求②设备接入公安网络的调试方法及步骤</w:t>
            </w:r>
            <w:r>
              <w:rPr>
                <w:rFonts w:hint="eastAsia" w:ascii="东文宋体" w:hAnsi="东文宋体" w:eastAsia="东文宋体" w:cs="东文宋体"/>
                <w:sz w:val="24"/>
                <w:highlight w:val="none"/>
                <w:lang w:eastAsia="zh-CN"/>
              </w:rPr>
              <w:t xml:space="preserve">③</w:t>
            </w:r>
            <w:r>
              <w:rPr>
                <w:rFonts w:hint="eastAsia" w:ascii="宋体" w:hAnsi="宋体" w:cs="宋体"/>
                <w:sz w:val="24"/>
                <w:highlight w:val="none"/>
              </w:rPr>
              <w:t xml:space="preserve">设备接入系统业务平台、</w:t>
            </w:r>
            <w:r>
              <w:rPr>
                <w:rFonts w:hint="eastAsia" w:ascii="宋体" w:hAnsi="宋体"/>
                <w:sz w:val="24"/>
                <w:highlight w:val="none"/>
              </w:rPr>
              <w:t xml:space="preserve">大屏常态警情、警力数据展示、</w:t>
            </w:r>
            <w:r>
              <w:rPr>
                <w:rFonts w:hint="eastAsia" w:ascii="宋体" w:hAnsi="宋体" w:cs="宋体"/>
                <w:sz w:val="24"/>
                <w:szCs w:val="24"/>
                <w:highlight w:val="none"/>
              </w:rPr>
              <w:t xml:space="preserve">人脸自助核验门禁</w:t>
            </w:r>
            <w:r>
              <w:rPr>
                <w:rFonts w:hint="eastAsia" w:ascii="宋体" w:hAnsi="宋体"/>
                <w:sz w:val="24"/>
                <w:highlight w:val="none"/>
              </w:rPr>
              <w:t xml:space="preserve">等</w:t>
            </w:r>
            <w:r>
              <w:rPr>
                <w:rFonts w:hint="eastAsia" w:ascii="宋体" w:hAnsi="宋体" w:cs="宋体"/>
                <w:sz w:val="24"/>
                <w:highlight w:val="none"/>
              </w:rPr>
              <w:t xml:space="preserve">接入设置与调试方法等，方案内容描述全面合理符合采购需求的得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分，每有一项内容缺失的扣1分；每有一项内容存在缺陷或不满足要求的扣0.5分，扣完为止。</w:t>
            </w:r>
            <w:r/>
          </w:p>
          <w:p>
            <w:pPr>
              <w:ind w:right="-61"/>
              <w:spacing w:line="400" w:lineRule="exact"/>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9" w:type="dxa"/>
            <w:vAlign w:val="center"/>
            <w:textDirection w:val="lrTb"/>
            <w:noWrap w:val="false"/>
          </w:tcPr>
          <w:p>
            <w:pPr>
              <w:ind w:right="-61"/>
              <w:jc w:val="center"/>
              <w:spacing w:line="400" w:lineRule="exact"/>
              <w:rPr>
                <w:rFonts w:hint="eastAsia" w:ascii="宋体" w:hAnsi="宋体" w:cs="宋体" w:eastAsiaTheme="minorEastAsia"/>
                <w:sz w:val="24"/>
                <w:highlight w:val="none"/>
                <w:lang w:val="en-US" w:eastAsia="zh-CN"/>
              </w:rPr>
            </w:pPr>
            <w:r>
              <w:rPr>
                <w:rFonts w:hint="eastAsia" w:ascii="宋体" w:hAnsi="宋体" w:cs="宋体"/>
                <w:sz w:val="24"/>
                <w:highlight w:val="none"/>
                <w:lang w:val="en-US" w:eastAsia="zh-CN"/>
              </w:rPr>
              <w:t xml:space="preserve">3</w:t>
            </w:r>
            <w:r/>
          </w:p>
        </w:tc>
      </w:tr>
      <w:tr>
        <w:trPr>
          <w:jc w:val="center"/>
        </w:trPr>
        <w:tc>
          <w:tcPr>
            <w:tcBorders>
              <w:top w:val="single" w:color="auto" w:sz="6" w:space="0"/>
              <w:left w:val="single" w:color="auto" w:sz="8" w:space="0"/>
              <w:bottom w:val="single" w:color="auto" w:sz="6"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2.4</w:t>
            </w:r>
            <w:r/>
          </w:p>
        </w:tc>
        <w:tc>
          <w:tcPr>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实施方案</w:t>
            </w:r>
            <w:r/>
          </w:p>
        </w:tc>
        <w:tc>
          <w:tcPr>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keepLines/>
              <w:keepNext/>
              <w:spacing w:line="400" w:lineRule="exact"/>
              <w:rPr>
                <w:rFonts w:ascii="宋体" w:hAnsi="宋体" w:cs="宋体"/>
                <w:sz w:val="24"/>
                <w:highlight w:val="none"/>
              </w:rPr>
              <w:outlineLvl w:val="3"/>
            </w:pPr>
            <w:r>
              <w:rPr>
                <w:rFonts w:hint="eastAsia" w:ascii="宋体" w:hAnsi="宋体" w:cs="宋体"/>
                <w:sz w:val="24"/>
                <w:highlight w:val="none"/>
              </w:rPr>
              <w:t xml:space="preserve">投标人针对本项目提供</w:t>
            </w:r>
            <w:r>
              <w:rPr>
                <w:rFonts w:ascii="宋体" w:hAnsi="宋体" w:cs="宋体"/>
                <w:sz w:val="24"/>
                <w:highlight w:val="none"/>
              </w:rPr>
              <w:t xml:space="preserve">实施方案</w:t>
            </w:r>
            <w:r>
              <w:rPr>
                <w:rFonts w:hint="eastAsia" w:ascii="宋体" w:hAnsi="宋体" w:cs="宋体"/>
                <w:sz w:val="24"/>
                <w:highlight w:val="none"/>
              </w:rPr>
              <w:t xml:space="preserve">，包括①项目施工进度管理（含工期、进度计划等）</w:t>
            </w:r>
            <w:r>
              <w:rPr>
                <w:rFonts w:hint="eastAsia" w:ascii="宋体" w:hAnsi="宋体" w:cs="宋体"/>
                <w:sz w:val="24"/>
                <w:highlight w:val="none"/>
                <w:lang w:eastAsia="zh-CN"/>
              </w:rPr>
              <w:t xml:space="preserve">；</w:t>
            </w:r>
            <w:r>
              <w:rPr>
                <w:rFonts w:hint="eastAsia" w:ascii="宋体" w:hAnsi="宋体" w:cs="宋体"/>
                <w:sz w:val="24"/>
                <w:highlight w:val="none"/>
              </w:rPr>
              <w:t xml:space="preserve">②项目安装调试及验收方案</w:t>
            </w:r>
            <w:r>
              <w:rPr>
                <w:rFonts w:hint="eastAsia" w:ascii="宋体" w:hAnsi="宋体" w:cs="宋体"/>
                <w:sz w:val="24"/>
                <w:highlight w:val="none"/>
                <w:lang w:eastAsia="zh-CN"/>
              </w:rPr>
              <w:t xml:space="preserve">；</w:t>
            </w:r>
            <w:r>
              <w:rPr>
                <w:rFonts w:hint="eastAsia" w:ascii="宋体" w:hAnsi="宋体" w:cs="宋体"/>
                <w:sz w:val="24"/>
                <w:highlight w:val="none"/>
              </w:rPr>
              <w:t xml:space="preserve">③项目施工质量控制、安全文明施工、环保措施等方案，方案内容描述全面合理符合采购需求的得3分，每有一项内容缺失的扣1分；每有一项内容存在缺陷或不满足要求的扣0.5分，扣完为止。</w:t>
            </w:r>
            <w:r/>
          </w:p>
          <w:p>
            <w:pPr>
              <w:ind w:right="-61"/>
              <w:spacing w:line="400" w:lineRule="exact"/>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3</w:t>
            </w:r>
            <w:r/>
          </w:p>
        </w:tc>
      </w:tr>
      <w:tr>
        <w:trPr>
          <w:jc w:val="center"/>
        </w:trPr>
        <w:tc>
          <w:tcPr>
            <w:tcBorders>
              <w:top w:val="single" w:color="auto" w:sz="6" w:space="0"/>
              <w:left w:val="single" w:color="auto" w:sz="8" w:space="0"/>
              <w:bottom w:val="single" w:color="auto" w:sz="6"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2.5</w:t>
            </w:r>
            <w:r/>
          </w:p>
        </w:tc>
        <w:tc>
          <w:tcPr>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培训方案</w:t>
            </w:r>
            <w:r/>
          </w:p>
        </w:tc>
        <w:tc>
          <w:tcPr>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ind w:right="-61"/>
              <w:keepLines/>
              <w:keepNext/>
              <w:spacing w:line="400" w:lineRule="exact"/>
              <w:rPr>
                <w:rFonts w:ascii="宋体" w:hAnsi="宋体" w:cs="宋体"/>
                <w:sz w:val="24"/>
                <w:highlight w:val="none"/>
              </w:rPr>
              <w:outlineLvl w:val="3"/>
            </w:pPr>
            <w:r>
              <w:rPr>
                <w:rFonts w:hint="eastAsia" w:ascii="宋体" w:hAnsi="宋体" w:cs="宋体"/>
                <w:sz w:val="24"/>
                <w:highlight w:val="none"/>
              </w:rPr>
              <w:t xml:space="preserve">投标人针对本项目提供培训方案，包括①培训计划、培训内容（含详细课程安排、电子版培训资料及讲义、授课师资配备、时间地点等）</w:t>
            </w:r>
            <w:r>
              <w:rPr>
                <w:rFonts w:hint="eastAsia" w:ascii="宋体" w:hAnsi="宋体" w:cs="宋体"/>
                <w:sz w:val="24"/>
                <w:highlight w:val="none"/>
                <w:lang w:eastAsia="zh-CN"/>
              </w:rPr>
              <w:t xml:space="preserve">；</w:t>
            </w:r>
            <w:r>
              <w:rPr>
                <w:rFonts w:hint="eastAsia" w:ascii="宋体" w:hAnsi="宋体" w:cs="宋体"/>
                <w:sz w:val="24"/>
                <w:highlight w:val="none"/>
              </w:rPr>
              <w:t xml:space="preserve">②培训组织形式与目标要求，方案内容描述全面合理符合采购需求的得2分，每有一项内容缺失的扣1分；每有一项内容存在缺陷或不满足要求的扣0.5分，扣完为止。</w:t>
            </w:r>
            <w:r/>
          </w:p>
          <w:p>
            <w:pPr>
              <w:ind w:right="-61"/>
              <w:keepLines/>
              <w:keepNext/>
              <w:spacing w:line="400" w:lineRule="exact"/>
              <w:rPr>
                <w:rFonts w:ascii="宋体" w:hAnsi="宋体" w:cs="宋体"/>
                <w:sz w:val="24"/>
                <w:highlight w:val="none"/>
              </w:rPr>
              <w:outlineLvl w:val="3"/>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w:t>
            </w:r>
            <w:r/>
          </w:p>
        </w:tc>
      </w:tr>
      <w:tr>
        <w:trPr>
          <w:jc w:val="center"/>
        </w:trPr>
        <w:tc>
          <w:tcPr>
            <w:tcBorders>
              <w:top w:val="single" w:color="auto" w:sz="6" w:space="0"/>
              <w:left w:val="single" w:color="auto" w:sz="8" w:space="0"/>
              <w:bottom w:val="single" w:color="auto" w:sz="6"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2.6</w:t>
            </w:r>
            <w:r/>
          </w:p>
        </w:tc>
        <w:tc>
          <w:tcPr>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日常养护和故障抢修方案</w:t>
            </w:r>
            <w:r/>
          </w:p>
        </w:tc>
        <w:tc>
          <w:tcPr>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keepLines/>
              <w:keepNext/>
              <w:spacing w:line="400" w:lineRule="exact"/>
              <w:rPr>
                <w:rFonts w:ascii="宋体" w:hAnsi="宋体" w:cs="宋体"/>
                <w:sz w:val="24"/>
                <w:highlight w:val="none"/>
              </w:rPr>
              <w:outlineLvl w:val="3"/>
            </w:pPr>
            <w:r>
              <w:rPr>
                <w:rFonts w:hint="eastAsia" w:ascii="宋体" w:hAnsi="宋体" w:cs="宋体"/>
                <w:sz w:val="24"/>
                <w:highlight w:val="none"/>
              </w:rPr>
              <w:t xml:space="preserve">投标人针对本项目提供日常养护和故障抢修方案，包括①日常养护与故障抢修计划管理及实施保证、运维档案</w:t>
            </w:r>
            <w:r>
              <w:rPr>
                <w:rFonts w:hint="eastAsia" w:ascii="宋体" w:hAnsi="宋体" w:cs="宋体"/>
                <w:sz w:val="24"/>
                <w:highlight w:val="none"/>
                <w:lang w:eastAsia="zh-CN"/>
              </w:rPr>
              <w:t xml:space="preserve">；</w:t>
            </w:r>
            <w:r>
              <w:rPr>
                <w:rFonts w:hint="eastAsia" w:ascii="宋体" w:hAnsi="宋体" w:cs="宋体"/>
                <w:sz w:val="24"/>
                <w:highlight w:val="none"/>
              </w:rPr>
              <w:t xml:space="preserve">②日常养护与故障抢修技术保障、备品备件及质量管理，方案内容描述全面合理符合采购需求的得2分，每有一项内容缺失的扣1分；每有一项内容存在缺陷或不满足要求的扣0.5分，扣完为止。</w:t>
            </w:r>
            <w:r/>
          </w:p>
          <w:p>
            <w:pPr>
              <w:ind w:right="-61"/>
              <w:spacing w:line="400" w:lineRule="exact"/>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w:t>
            </w:r>
            <w:r/>
          </w:p>
        </w:tc>
      </w:tr>
      <w:tr>
        <w:trPr>
          <w:jc w:val="center"/>
        </w:trPr>
        <w:tc>
          <w:tcPr>
            <w:tcBorders>
              <w:top w:val="single" w:color="auto" w:sz="6" w:space="0"/>
              <w:left w:val="single" w:color="auto" w:sz="8" w:space="0"/>
              <w:bottom w:val="single" w:color="auto" w:sz="6"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2.7</w:t>
            </w:r>
            <w:r/>
          </w:p>
        </w:tc>
        <w:tc>
          <w:tcPr>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售后服务方案</w:t>
            </w:r>
            <w:r/>
          </w:p>
        </w:tc>
        <w:tc>
          <w:tcPr>
            <w:tcW w:w="5358" w:type="dxa"/>
            <w:vAlign w:val="center"/>
            <w:textDirection w:val="lrTb"/>
            <w:noWrap w:val="false"/>
          </w:tcPr>
          <w:p>
            <w:pPr>
              <w:keepLines/>
              <w:keepNext/>
              <w:spacing w:line="400" w:lineRule="exact"/>
              <w:rPr>
                <w:rFonts w:ascii="宋体" w:hAnsi="宋体" w:cs="宋体"/>
                <w:sz w:val="24"/>
                <w:highlight w:val="none"/>
              </w:rPr>
              <w:outlineLvl w:val="3"/>
            </w:pPr>
            <w:r>
              <w:rPr>
                <w:rFonts w:hint="eastAsia" w:ascii="宋体" w:hAnsi="宋体" w:cs="宋体"/>
                <w:sz w:val="24"/>
                <w:highlight w:val="none"/>
              </w:rPr>
              <w:t xml:space="preserve">投标人针对本项目提供售后服务机构和人员情况</w:t>
            </w:r>
            <w:r>
              <w:rPr>
                <w:rFonts w:ascii="宋体" w:hAnsi="宋体" w:cs="宋体"/>
                <w:sz w:val="24"/>
                <w:highlight w:val="none"/>
              </w:rPr>
              <w:t xml:space="preserve">方案</w:t>
            </w:r>
            <w:r>
              <w:rPr>
                <w:rFonts w:hint="eastAsia" w:ascii="宋体" w:hAnsi="宋体" w:cs="宋体"/>
                <w:sz w:val="24"/>
                <w:highlight w:val="none"/>
              </w:rPr>
              <w:t xml:space="preserve">，包括①</w:t>
            </w:r>
            <w:r>
              <w:rPr>
                <w:rFonts w:ascii="宋体" w:hAnsi="宋体" w:eastAsia="宋体" w:cs="Times New Roman"/>
                <w:sz w:val="24"/>
                <w:szCs w:val="24"/>
                <w:highlight w:val="none"/>
              </w:rPr>
              <w:t xml:space="preserve">售后</w:t>
            </w:r>
            <w:r>
              <w:rPr>
                <w:rFonts w:hint="eastAsia" w:ascii="宋体" w:hAnsi="宋体" w:eastAsia="宋体" w:cs="Times New Roman"/>
                <w:sz w:val="24"/>
                <w:szCs w:val="24"/>
                <w:highlight w:val="none"/>
              </w:rPr>
              <w:t xml:space="preserve">服务体系、</w:t>
            </w:r>
            <w:r>
              <w:rPr>
                <w:rFonts w:hint="eastAsia" w:ascii="宋体" w:hAnsi="宋体" w:cs="宋体"/>
                <w:sz w:val="24"/>
                <w:highlight w:val="none"/>
              </w:rPr>
              <w:t xml:space="preserve">②</w:t>
            </w:r>
            <w:r>
              <w:rPr>
                <w:rFonts w:hint="eastAsia" w:ascii="宋体" w:hAnsi="宋体" w:eastAsia="宋体" w:cs="Times New Roman"/>
                <w:sz w:val="24"/>
                <w:szCs w:val="24"/>
                <w:highlight w:val="none"/>
              </w:rPr>
              <w:t xml:space="preserve">项目应急预案</w:t>
            </w:r>
            <w:r>
              <w:rPr>
                <w:rFonts w:hint="eastAsia" w:ascii="宋体" w:hAnsi="宋体" w:eastAsia="宋体" w:cs="Times New Roman"/>
                <w:sz w:val="24"/>
                <w:szCs w:val="24"/>
                <w:highlight w:val="none"/>
                <w:lang w:eastAsia="zh-CN"/>
              </w:rPr>
              <w:t xml:space="preserve">、</w:t>
            </w:r>
            <w:r>
              <w:rPr>
                <w:rFonts w:hint="eastAsia" w:ascii="东文宋体" w:hAnsi="东文宋体" w:eastAsia="东文宋体" w:cs="东文宋体"/>
                <w:sz w:val="24"/>
                <w:szCs w:val="24"/>
                <w:highlight w:val="none"/>
              </w:rPr>
              <w:t xml:space="preserve">③</w:t>
            </w:r>
            <w:r>
              <w:rPr>
                <w:rFonts w:ascii="宋体" w:hAnsi="宋体" w:eastAsia="宋体" w:cs="Times New Roman"/>
                <w:sz w:val="24"/>
                <w:szCs w:val="24"/>
                <w:highlight w:val="none"/>
              </w:rPr>
              <w:t xml:space="preserve">售后服务保障措施</w:t>
            </w:r>
            <w:r>
              <w:rPr>
                <w:rFonts w:hint="eastAsia" w:ascii="宋体" w:hAnsi="宋体" w:eastAsia="宋体"/>
                <w:sz w:val="24"/>
                <w:szCs w:val="24"/>
                <w:highlight w:val="none"/>
              </w:rPr>
              <w:t xml:space="preserve">，</w:t>
            </w:r>
            <w:r>
              <w:rPr>
                <w:rFonts w:hint="eastAsia" w:ascii="宋体" w:hAnsi="宋体" w:cs="宋体"/>
                <w:sz w:val="24"/>
                <w:highlight w:val="none"/>
              </w:rPr>
              <w:t xml:space="preserve">方案内容描述全面合理符合采购需求的得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分，每有一项内容缺失的扣1分；每有一项内容存在缺陷或不满足要求的扣0.5分，扣完为止。</w:t>
            </w:r>
            <w:r/>
          </w:p>
          <w:p>
            <w:pPr>
              <w:ind w:right="-61"/>
              <w:spacing w:line="400" w:lineRule="exact"/>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9" w:type="dxa"/>
            <w:vAlign w:val="center"/>
            <w:textDirection w:val="lrTb"/>
            <w:noWrap w:val="false"/>
          </w:tcPr>
          <w:p>
            <w:pPr>
              <w:ind w:right="-61"/>
              <w:jc w:val="center"/>
              <w:spacing w:line="400" w:lineRule="exact"/>
              <w:rPr>
                <w:rFonts w:hint="eastAsia" w:ascii="宋体" w:hAnsi="宋体" w:cs="宋体" w:eastAsiaTheme="minorEastAsia"/>
                <w:sz w:val="24"/>
                <w:highlight w:val="none"/>
                <w:lang w:val="en-US" w:eastAsia="zh-CN"/>
              </w:rPr>
            </w:pPr>
            <w:r>
              <w:rPr>
                <w:rFonts w:hint="eastAsia" w:ascii="宋体" w:hAnsi="宋体" w:cs="宋体"/>
                <w:sz w:val="24"/>
                <w:highlight w:val="none"/>
                <w:lang w:val="en-US" w:eastAsia="zh-CN"/>
              </w:rPr>
              <w:t xml:space="preserve">3</w:t>
            </w:r>
            <w:r/>
          </w:p>
        </w:tc>
      </w:tr>
      <w:tr>
        <w:trPr>
          <w:jc w:val="center"/>
        </w:trPr>
        <w:tc>
          <w:tcPr>
            <w:tcBorders>
              <w:top w:val="single" w:color="auto" w:sz="6" w:space="0"/>
              <w:left w:val="single" w:color="auto" w:sz="8" w:space="0"/>
              <w:bottom w:val="single" w:color="auto" w:sz="6"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2.8</w:t>
            </w:r>
            <w:r/>
          </w:p>
        </w:tc>
        <w:tc>
          <w:tcPr>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承诺延长免费维保期</w:t>
            </w:r>
            <w:r/>
          </w:p>
        </w:tc>
        <w:tc>
          <w:tcPr>
            <w:tcW w:w="5358" w:type="dxa"/>
            <w:vAlign w:val="center"/>
            <w:textDirection w:val="lrTb"/>
            <w:noWrap w:val="false"/>
          </w:tcPr>
          <w:p>
            <w:pPr>
              <w:spacing w:line="276" w:lineRule="auto"/>
              <w:rPr>
                <w:rFonts w:ascii="宋体" w:hAnsi="宋体" w:cs="宋体"/>
                <w:sz w:val="24"/>
                <w:highlight w:val="none"/>
              </w:rPr>
            </w:pPr>
            <w:r>
              <w:rPr>
                <w:rFonts w:hint="eastAsia" w:ascii="宋体" w:hAnsi="宋体" w:cs="宋体"/>
                <w:sz w:val="24"/>
                <w:highlight w:val="none"/>
              </w:rPr>
              <w:t xml:space="preserve">加分规则：在最低免费基础维保期五年外，额外每增加1年免费维保期（包含所有设备及硬件、软件、数据、全天候运维服务及派驻指挥中心现场运维服务等），明确延长免费维保期服务范围、响应标准等核心内容</w:t>
            </w:r>
            <w:r>
              <w:rPr>
                <w:rFonts w:hint="eastAsia" w:ascii="宋体" w:hAnsi="宋体" w:cs="宋体"/>
                <w:sz w:val="24"/>
                <w:highlight w:val="none"/>
                <w:lang w:eastAsia="zh-CN"/>
              </w:rPr>
              <w:t xml:space="preserve">，</w:t>
            </w:r>
            <w:r>
              <w:rPr>
                <w:rFonts w:hint="eastAsia" w:ascii="宋体" w:hAnsi="宋体" w:cs="宋体"/>
                <w:sz w:val="24"/>
                <w:highlight w:val="none"/>
              </w:rPr>
              <w:t xml:space="preserve">加1分；最高得5分。未提供或承诺内容不清晰、不全面的不予计分。</w:t>
            </w:r>
            <w:r/>
          </w:p>
          <w:p>
            <w:pPr>
              <w:ind w:right="-61"/>
              <w:spacing w:line="400" w:lineRule="exact"/>
              <w:rPr>
                <w:rFonts w:ascii="宋体" w:hAnsi="宋体" w:cs="宋体"/>
                <w:sz w:val="24"/>
                <w:highlight w:val="none"/>
              </w:rPr>
            </w:pP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投标人</w:t>
            </w:r>
            <w:r>
              <w:rPr>
                <w:rFonts w:hint="eastAsia" w:ascii="宋体" w:hAnsi="宋体" w:cs="宋体"/>
                <w:b/>
                <w:bCs/>
                <w:sz w:val="24"/>
                <w:highlight w:val="none"/>
                <w:lang w:val="en-US" w:eastAsia="zh-CN"/>
              </w:rPr>
              <w:t xml:space="preserve">须</w:t>
            </w:r>
            <w:r>
              <w:rPr>
                <w:rFonts w:hint="eastAsia" w:ascii="宋体" w:hAnsi="宋体" w:cs="宋体"/>
                <w:b/>
                <w:bCs/>
                <w:sz w:val="24"/>
                <w:highlight w:val="none"/>
              </w:rPr>
              <w:t xml:space="preserve">提供承诺函</w:t>
            </w:r>
            <w:r>
              <w:rPr>
                <w:rFonts w:hint="eastAsia" w:ascii="宋体" w:hAnsi="宋体" w:cs="宋体"/>
                <w:b/>
                <w:bCs/>
                <w:sz w:val="24"/>
                <w:highlight w:val="none"/>
                <w:lang w:val="en-US" w:eastAsia="zh-CN"/>
              </w:rPr>
              <w:t xml:space="preserve">扫描件）</w:t>
            </w:r>
            <w:r/>
          </w:p>
        </w:tc>
        <w:tc>
          <w:tcPr>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5</w:t>
            </w:r>
            <w:r/>
          </w:p>
        </w:tc>
      </w:tr>
      <w:tr>
        <w:trPr>
          <w:jc w:val="center"/>
        </w:trPr>
        <w:tc>
          <w:tcPr>
            <w:tcBorders>
              <w:top w:val="single" w:color="auto" w:sz="6" w:space="0"/>
              <w:left w:val="single" w:color="auto" w:sz="8" w:space="0"/>
              <w:right w:val="single" w:color="auto" w:sz="6" w:space="0"/>
            </w:tcBorders>
            <w:tcW w:w="1219" w:type="dxa"/>
            <w:vAlign w:val="center"/>
            <w:vMerge w:val="restart"/>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三、商务部分</w:t>
            </w:r>
            <w:r/>
          </w:p>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eastAsia="宋体" w:cs="宋体"/>
                <w:sz w:val="24"/>
                <w:szCs w:val="24"/>
                <w:highlight w:val="none"/>
              </w:rPr>
            </w:pPr>
            <w:r>
              <w:rPr>
                <w:rFonts w:hint="eastAsia" w:ascii="宋体" w:hAnsi="宋体" w:cs="宋体"/>
                <w:sz w:val="24"/>
                <w:highlight w:val="none"/>
              </w:rPr>
              <w:t xml:space="preserve">投标人综合实力</w:t>
            </w:r>
            <w:r/>
          </w:p>
        </w:tc>
        <w:tc>
          <w:tcPr>
            <w:shd w:val="clear" w:color="auto" w:fill="auto"/>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ind w:right="-61"/>
              <w:jc w:val="left"/>
              <w:spacing w:line="400" w:lineRule="exact"/>
              <w:rPr>
                <w:rFonts w:hint="eastAsia" w:ascii="宋体" w:hAnsi="宋体" w:cs="宋体"/>
                <w:spacing w:val="-1"/>
                <w:sz w:val="24"/>
                <w:highlight w:val="none"/>
              </w:rPr>
            </w:pPr>
            <w:r>
              <w:rPr>
                <w:rFonts w:hint="eastAsia" w:ascii="宋体" w:hAnsi="宋体" w:cs="宋体"/>
                <w:spacing w:val="-1"/>
                <w:sz w:val="24"/>
                <w:highlight w:val="none"/>
              </w:rPr>
              <w:t xml:space="preserve">①投标人具有ITSS信息技术服务标准运维能力成熟度认证证书的</w:t>
            </w:r>
            <w:r>
              <w:rPr>
                <w:rFonts w:hint="eastAsia" w:ascii="宋体" w:hAnsi="宋体" w:cs="宋体"/>
                <w:spacing w:val="-1"/>
                <w:sz w:val="24"/>
                <w:highlight w:val="none"/>
                <w:lang w:eastAsia="zh-CN"/>
              </w:rPr>
              <w:t xml:space="preserve">，</w:t>
            </w:r>
            <w:r>
              <w:rPr>
                <w:rFonts w:hint="eastAsia" w:ascii="宋体" w:hAnsi="宋体" w:cs="宋体"/>
                <w:spacing w:val="-1"/>
                <w:sz w:val="24"/>
                <w:highlight w:val="none"/>
              </w:rPr>
              <w:t xml:space="preserve">得1分；</w:t>
            </w:r>
            <w:r/>
          </w:p>
          <w:p>
            <w:pPr>
              <w:ind w:right="-61"/>
              <w:jc w:val="left"/>
              <w:spacing w:line="400" w:lineRule="exact"/>
              <w:rPr>
                <w:rFonts w:ascii="宋体" w:hAnsi="宋体" w:eastAsia="宋体" w:cs="宋体"/>
                <w:spacing w:val="-1"/>
                <w:sz w:val="24"/>
                <w:highlight w:val="none"/>
              </w:rPr>
            </w:pPr>
            <w:r>
              <w:rPr>
                <w:rFonts w:hint="eastAsia" w:ascii="东文宋体" w:hAnsi="东文宋体" w:eastAsia="东文宋体" w:cs="东文宋体"/>
                <w:spacing w:val="-1"/>
                <w:sz w:val="24"/>
                <w:highlight w:val="none"/>
              </w:rPr>
              <w:t xml:space="preserve">②</w:t>
            </w:r>
            <w:r>
              <w:rPr>
                <w:rFonts w:hint="eastAsia" w:ascii="宋体" w:hAnsi="宋体" w:cs="宋体"/>
                <w:spacing w:val="-1"/>
                <w:sz w:val="24"/>
                <w:highlight w:val="none"/>
              </w:rPr>
              <w:t xml:space="preserve">投标人具有CS信息系统建设和服务能力证书或具有CCRC信息安全服务资质认证证书的</w:t>
            </w:r>
            <w:r>
              <w:rPr>
                <w:rFonts w:hint="eastAsia" w:ascii="宋体" w:hAnsi="宋体" w:cs="宋体"/>
                <w:spacing w:val="-1"/>
                <w:sz w:val="24"/>
                <w:highlight w:val="none"/>
                <w:lang w:eastAsia="zh-CN"/>
              </w:rPr>
              <w:t xml:space="preserve">，</w:t>
            </w:r>
            <w:r>
              <w:rPr>
                <w:rFonts w:hint="eastAsia" w:ascii="宋体" w:hAnsi="宋体" w:cs="宋体"/>
                <w:spacing w:val="-1"/>
                <w:sz w:val="24"/>
                <w:highlight w:val="none"/>
              </w:rPr>
              <w:t xml:space="preserve">得1分；</w:t>
            </w:r>
            <w:r/>
          </w:p>
          <w:p>
            <w:pPr>
              <w:ind w:right="-61"/>
              <w:jc w:val="left"/>
              <w:spacing w:line="400" w:lineRule="exact"/>
              <w:rPr>
                <w:rFonts w:hint="eastAsia" w:ascii="宋体" w:hAnsi="宋体" w:cs="宋体"/>
                <w:spacing w:val="-1"/>
                <w:sz w:val="24"/>
                <w:highlight w:val="none"/>
              </w:rPr>
            </w:pPr>
            <w:r>
              <w:rPr>
                <w:rFonts w:ascii="宋体" w:hAnsi="宋体" w:cs="宋体"/>
                <w:spacing w:val="-1"/>
                <w:sz w:val="24"/>
                <w:highlight w:val="none"/>
              </w:rPr>
              <w:t xml:space="preserve">③</w:t>
            </w:r>
            <w:r>
              <w:rPr>
                <w:rFonts w:hint="eastAsia" w:ascii="宋体" w:hAnsi="宋体" w:cs="宋体"/>
                <w:spacing w:val="-1"/>
                <w:sz w:val="24"/>
                <w:highlight w:val="none"/>
              </w:rPr>
              <w:t xml:space="preserve">投标人具有CMMI软件能力成熟度模型集成或CSMM软件能力成熟度模型评估证书认证证书的</w:t>
            </w:r>
            <w:r>
              <w:rPr>
                <w:rFonts w:hint="eastAsia" w:ascii="宋体" w:hAnsi="宋体" w:cs="宋体"/>
                <w:spacing w:val="-1"/>
                <w:sz w:val="24"/>
                <w:highlight w:val="none"/>
                <w:lang w:eastAsia="zh-CN"/>
              </w:rPr>
              <w:t xml:space="preserve">，</w:t>
            </w:r>
            <w:r>
              <w:rPr>
                <w:rFonts w:hint="eastAsia" w:ascii="宋体" w:hAnsi="宋体" w:cs="宋体"/>
                <w:spacing w:val="-1"/>
                <w:sz w:val="24"/>
                <w:highlight w:val="none"/>
              </w:rPr>
              <w:t xml:space="preserve">得1分；</w:t>
            </w:r>
            <w:r/>
          </w:p>
          <w:p>
            <w:pPr>
              <w:ind w:right="-61"/>
              <w:jc w:val="left"/>
              <w:spacing w:line="400" w:lineRule="exact"/>
              <w:rPr>
                <w:rFonts w:ascii="宋体" w:hAnsi="宋体" w:cs="宋体"/>
                <w:spacing w:val="-1"/>
                <w:sz w:val="24"/>
                <w:highlight w:val="none"/>
              </w:rPr>
            </w:pPr>
            <w:r>
              <w:rPr>
                <w:rFonts w:hint="eastAsia" w:ascii="微软雅黑" w:hAnsi="微软雅黑" w:eastAsia="微软雅黑" w:cs="微软雅黑"/>
                <w:spacing w:val="-1"/>
                <w:sz w:val="24"/>
                <w:highlight w:val="none"/>
              </w:rPr>
              <w:t xml:space="preserve">④</w:t>
            </w:r>
            <w:r>
              <w:rPr>
                <w:rFonts w:hint="eastAsia" w:ascii="宋体" w:hAnsi="宋体" w:cs="宋体"/>
                <w:spacing w:val="-1"/>
                <w:sz w:val="24"/>
                <w:highlight w:val="none"/>
              </w:rPr>
              <w:t xml:space="preserve">投标人具有ISO20000信息技术服务管理体系认证证书、IS09001质量管理体系认证证书、ISO14001环境管理体认证证书的有一项得1分，最高得3分。</w:t>
            </w:r>
            <w:r/>
          </w:p>
          <w:p>
            <w:pPr>
              <w:ind w:right="-61"/>
              <w:jc w:val="left"/>
              <w:spacing w:line="400" w:lineRule="exact"/>
              <w:rPr>
                <w:rFonts w:ascii="宋体" w:hAnsi="宋体" w:eastAsia="宋体" w:cs="宋体"/>
                <w:b/>
                <w:bCs/>
                <w:sz w:val="24"/>
                <w:szCs w:val="24"/>
                <w:highlight w:val="none"/>
              </w:rPr>
            </w:pPr>
            <w:r>
              <w:rPr>
                <w:rFonts w:hint="eastAsia" w:ascii="宋体" w:hAnsi="宋体" w:cs="宋体"/>
                <w:b/>
                <w:bCs/>
                <w:sz w:val="24"/>
                <w:highlight w:val="none"/>
              </w:rPr>
              <w:t xml:space="preserve">（须提供相关证书</w:t>
            </w:r>
            <w:r>
              <w:rPr>
                <w:rFonts w:hint="eastAsia" w:asciiTheme="minorEastAsia" w:hAnsiTheme="minorEastAsia"/>
                <w:b/>
                <w:bCs/>
                <w:sz w:val="24"/>
                <w:highlight w:val="none"/>
              </w:rPr>
              <w:t xml:space="preserve">扫描件</w:t>
            </w:r>
            <w:r>
              <w:rPr>
                <w:rFonts w:hint="eastAsia" w:ascii="宋体" w:hAnsi="宋体" w:cs="宋体"/>
                <w:b/>
                <w:bCs/>
                <w:sz w:val="24"/>
                <w:highlight w:val="none"/>
              </w:rPr>
              <w:t xml:space="preserve">）</w:t>
            </w:r>
            <w:r/>
          </w:p>
        </w:tc>
        <w:tc>
          <w:tcPr>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ascii="宋体" w:hAnsi="宋体" w:eastAsia="宋体" w:cs="宋体"/>
                <w:sz w:val="24"/>
                <w:highlight w:val="none"/>
              </w:rPr>
            </w:pPr>
            <w:r>
              <w:rPr>
                <w:rFonts w:hint="eastAsia" w:ascii="宋体" w:hAnsi="宋体" w:eastAsia="宋体" w:cs="宋体"/>
                <w:sz w:val="24"/>
                <w:highlight w:val="none"/>
              </w:rPr>
              <w:t xml:space="preserve">6</w:t>
            </w:r>
            <w:r/>
          </w:p>
        </w:tc>
      </w:tr>
      <w:tr>
        <w:trPr>
          <w:jc w:val="center"/>
        </w:trPr>
        <w:tc>
          <w:tcPr>
            <w:tcBorders>
              <w:left w:val="single" w:color="auto" w:sz="8" w:space="0"/>
              <w:right w:val="single" w:color="auto" w:sz="6" w:space="0"/>
            </w:tcBorders>
            <w:tcW w:w="1219" w:type="dxa"/>
            <w:vAlign w:val="center"/>
            <w:vMerge w:val="continue"/>
            <w:textDirection w:val="lrTb"/>
            <w:noWrap w:val="false"/>
          </w:tcPr>
          <w:p>
            <w:pPr>
              <w:ind w:right="-61"/>
              <w:jc w:val="center"/>
              <w:spacing w:line="400" w:lineRule="exact"/>
              <w:rPr>
                <w:rFonts w:ascii="宋体" w:hAnsi="宋体" w:cs="宋体"/>
                <w:sz w:val="24"/>
                <w:highlight w:val="none"/>
              </w:rPr>
            </w:pPr>
            <w:r>
              <w:rPr>
                <w:rFonts w:ascii="宋体" w:hAnsi="宋体" w:cs="宋体"/>
                <w:sz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lang w:val="en-US" w:eastAsia="zh-CN"/>
              </w:rPr>
              <w:t xml:space="preserve">制造商</w:t>
            </w:r>
            <w:r>
              <w:rPr>
                <w:rFonts w:hint="eastAsia" w:ascii="宋体" w:hAnsi="宋体" w:cs="宋体"/>
                <w:sz w:val="24"/>
                <w:highlight w:val="none"/>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ind w:right="-61"/>
              <w:spacing w:line="360" w:lineRule="exact"/>
              <w:rPr>
                <w:rFonts w:hint="eastAsia" w:ascii="宋体" w:hAnsi="宋体"/>
                <w:sz w:val="24"/>
                <w:highlight w:val="none"/>
              </w:rPr>
            </w:pPr>
            <w:r>
              <w:rPr>
                <w:rFonts w:hint="eastAsia" w:ascii="宋体" w:hAnsi="宋体"/>
                <w:sz w:val="24"/>
                <w:highlight w:val="none"/>
              </w:rPr>
              <w:t xml:space="preserve">所投P1.25小间距LED屏制造商：</w:t>
            </w:r>
            <w:r/>
          </w:p>
          <w:p>
            <w:pPr>
              <w:ind w:right="-61"/>
              <w:spacing w:line="360" w:lineRule="exact"/>
              <w:rPr>
                <w:rFonts w:hint="eastAsia" w:ascii="宋体" w:hAnsi="宋体"/>
                <w:sz w:val="24"/>
                <w:highlight w:val="none"/>
              </w:rPr>
            </w:pPr>
            <w:r>
              <w:rPr>
                <w:rFonts w:hint="eastAsia" w:ascii="宋体" w:hAnsi="宋体"/>
                <w:sz w:val="24"/>
                <w:highlight w:val="none"/>
              </w:rPr>
              <w:t xml:space="preserve">①具有音视频智能系统集成工程企业等级证书的，得1分；</w:t>
            </w:r>
            <w:r/>
          </w:p>
          <w:p>
            <w:pPr>
              <w:ind w:right="-61"/>
              <w:spacing w:line="360" w:lineRule="exact"/>
              <w:rPr>
                <w:rFonts w:hint="eastAsia" w:ascii="宋体" w:hAnsi="宋体"/>
                <w:sz w:val="24"/>
                <w:highlight w:val="none"/>
              </w:rPr>
            </w:pPr>
            <w:r>
              <w:rPr>
                <w:rFonts w:hint="eastAsia" w:ascii="宋体" w:hAnsi="宋体"/>
                <w:sz w:val="24"/>
                <w:highlight w:val="none"/>
              </w:rPr>
              <w:t xml:space="preserve">②具有CCRC信息安全服务资质认证证书（信息安全应急处理）的，得1分；</w:t>
            </w:r>
            <w:r/>
          </w:p>
          <w:p>
            <w:pPr>
              <w:ind w:right="-61"/>
              <w:spacing w:line="360" w:lineRule="exact"/>
              <w:rPr>
                <w:rFonts w:hint="eastAsia" w:ascii="宋体" w:hAnsi="宋体"/>
                <w:sz w:val="24"/>
                <w:highlight w:val="none"/>
              </w:rPr>
            </w:pPr>
            <w:r>
              <w:rPr>
                <w:rFonts w:hint="eastAsia" w:ascii="宋体" w:hAnsi="宋体"/>
                <w:sz w:val="24"/>
                <w:highlight w:val="none"/>
              </w:rPr>
              <w:t xml:space="preserve">③具有LS国产化信息系统集成和服务能力等级证书的，得1分；</w:t>
            </w:r>
            <w:r/>
          </w:p>
          <w:p>
            <w:pPr>
              <w:ind w:right="-61"/>
              <w:spacing w:line="360" w:lineRule="exact"/>
              <w:rPr>
                <w:rFonts w:hint="eastAsia" w:ascii="宋体" w:hAnsi="宋体"/>
                <w:sz w:val="24"/>
                <w:highlight w:val="none"/>
              </w:rPr>
            </w:pPr>
            <w:r>
              <w:rPr>
                <w:rFonts w:hint="eastAsia" w:ascii="宋体" w:hAnsi="宋体"/>
                <w:sz w:val="24"/>
                <w:highlight w:val="none"/>
              </w:rPr>
              <w:t xml:space="preserve">④具有视频监控集成平台相关计算机软件著作权登记证书的，得1分。</w:t>
            </w:r>
            <w:r/>
          </w:p>
          <w:p>
            <w:pPr>
              <w:ind w:right="-61"/>
              <w:spacing w:line="360" w:lineRule="exact"/>
              <w:rPr>
                <w:rFonts w:ascii="宋体" w:hAnsi="宋体"/>
                <w:sz w:val="24"/>
                <w:highlight w:val="none"/>
              </w:rPr>
            </w:pPr>
            <w:r>
              <w:rPr>
                <w:rFonts w:hint="eastAsia" w:ascii="宋体" w:hAnsi="宋体"/>
                <w:b/>
                <w:bCs/>
                <w:sz w:val="24"/>
                <w:highlight w:val="none"/>
              </w:rPr>
              <w:t xml:space="preserve">（须提供有效期内的证书扫描件）</w:t>
            </w:r>
            <w:r/>
          </w:p>
        </w:tc>
        <w:tc>
          <w:tcPr>
            <w:shd w:val="clear" w:color="auto" w:fill="auto"/>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hint="default" w:ascii="宋体" w:hAnsi="宋体" w:cs="宋体" w:eastAsiaTheme="minorEastAsia"/>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2706"/>
        </w:trPr>
        <w:tc>
          <w:tcPr>
            <w:tcBorders>
              <w:left w:val="single" w:color="auto" w:sz="8"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3.3</w:t>
            </w:r>
            <w:r/>
          </w:p>
        </w:tc>
        <w:tc>
          <w:tcPr>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项目负责人</w:t>
            </w:r>
            <w:r/>
          </w:p>
        </w:tc>
        <w:tc>
          <w:tcPr>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ind w:right="-61"/>
              <w:spacing w:line="400" w:lineRule="exact"/>
              <w:rPr>
                <w:rFonts w:ascii="宋体" w:hAnsi="宋体" w:cs="宋体"/>
                <w:sz w:val="24"/>
                <w:highlight w:val="none"/>
              </w:rPr>
            </w:pPr>
            <w:r>
              <w:rPr>
                <w:rFonts w:hint="eastAsia" w:ascii="宋体" w:hAnsi="宋体" w:cs="宋体"/>
                <w:sz w:val="24"/>
                <w:highlight w:val="none"/>
              </w:rPr>
              <w:t xml:space="preserve">投标人为本项目配备的项目负责人具有国家权威机构颁发的①</w:t>
            </w:r>
            <w:r>
              <w:rPr>
                <w:rFonts w:hint="eastAsia" w:ascii="宋体" w:hAnsi="宋体" w:cs="宋体"/>
                <w:color w:val="auto"/>
                <w:sz w:val="24"/>
                <w:highlight w:val="none"/>
              </w:rPr>
              <w:t xml:space="preserve">信息系统项目管理师证书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②</w:t>
            </w:r>
            <w:r>
              <w:rPr>
                <w:rFonts w:hint="eastAsia" w:ascii="宋体" w:hAnsi="宋体" w:cs="宋体"/>
                <w:sz w:val="24"/>
                <w:highlight w:val="none"/>
                <w:lang w:val="en-US" w:eastAsia="zh-CN"/>
              </w:rPr>
              <w:t xml:space="preserve">电子信息工程相关专业中级及以上职称证书</w:t>
            </w:r>
            <w:r>
              <w:rPr>
                <w:rFonts w:hint="eastAsia" w:ascii="宋体" w:hAnsi="宋体" w:cs="宋体"/>
                <w:sz w:val="24"/>
                <w:highlight w:val="none"/>
              </w:rPr>
              <w:t xml:space="preserve">、③一级建造师（机电工程）证书的，有一项得1分，最高得3分。</w:t>
            </w:r>
            <w:r/>
          </w:p>
          <w:p>
            <w:pPr>
              <w:ind w:right="-61"/>
              <w:spacing w:line="400" w:lineRule="exact"/>
              <w:rPr>
                <w:rFonts w:ascii="宋体" w:hAnsi="宋体" w:cs="宋体"/>
                <w:b/>
                <w:sz w:val="24"/>
                <w:highlight w:val="none"/>
              </w:rPr>
            </w:pPr>
            <w:r>
              <w:rPr>
                <w:rFonts w:hint="eastAsia" w:ascii="宋体" w:hAnsi="宋体" w:cs="宋体"/>
                <w:b/>
                <w:sz w:val="24"/>
                <w:highlight w:val="none"/>
              </w:rPr>
              <w:t xml:space="preserve">【</w:t>
            </w:r>
            <w:r>
              <w:rPr>
                <w:rFonts w:hint="eastAsia" w:ascii="宋体" w:hAnsi="宋体" w:eastAsia="宋体" w:cs="Times New Roman"/>
                <w:b/>
                <w:bCs/>
                <w:sz w:val="24"/>
                <w:szCs w:val="24"/>
                <w:highlight w:val="none"/>
              </w:rPr>
              <w:t xml:space="preserve">须提供证书扫描件，且须提供本单位近3个月（含投标当月）中任意1个月份为其缴纳社保的证明扫描件</w:t>
            </w:r>
            <w:r>
              <w:rPr>
                <w:rFonts w:hint="eastAsia" w:ascii="宋体" w:hAnsi="宋体" w:cs="宋体"/>
                <w:b/>
                <w:sz w:val="24"/>
                <w:highlight w:val="none"/>
              </w:rPr>
              <w:t xml:space="preserve">】</w:t>
            </w:r>
            <w:r/>
          </w:p>
        </w:tc>
        <w:tc>
          <w:tcPr>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3</w:t>
            </w:r>
            <w:r/>
          </w:p>
        </w:tc>
      </w:tr>
      <w:tr>
        <w:trPr>
          <w:jc w:val="center"/>
        </w:trPr>
        <w:tc>
          <w:tcPr>
            <w:tcBorders>
              <w:left w:val="single" w:color="auto" w:sz="8"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854"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3.4</w:t>
            </w:r>
            <w:r/>
          </w:p>
        </w:tc>
        <w:tc>
          <w:tcPr>
            <w:tcBorders>
              <w:top w:val="single" w:color="auto" w:sz="6" w:space="0"/>
              <w:left w:val="single" w:color="auto" w:sz="6" w:space="0"/>
              <w:bottom w:val="single" w:color="auto" w:sz="6" w:space="0"/>
              <w:right w:val="single" w:color="auto" w:sz="6" w:space="0"/>
            </w:tcBorders>
            <w:tcW w:w="1286"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项目组其他成员</w:t>
            </w:r>
            <w:r/>
          </w:p>
        </w:tc>
        <w:tc>
          <w:tcPr>
            <w:tcBorders>
              <w:top w:val="single" w:color="auto" w:sz="6" w:space="0"/>
              <w:left w:val="single" w:color="auto" w:sz="6" w:space="0"/>
              <w:bottom w:val="single" w:color="auto" w:sz="6" w:space="0"/>
              <w:right w:val="single" w:color="auto" w:sz="6" w:space="0"/>
            </w:tcBorders>
            <w:tcW w:w="5358" w:type="dxa"/>
            <w:vAlign w:val="center"/>
            <w:textDirection w:val="lrTb"/>
            <w:noWrap w:val="false"/>
          </w:tcPr>
          <w:p>
            <w:pPr>
              <w:ind w:right="-61"/>
              <w:spacing w:line="400" w:lineRule="exact"/>
              <w:rPr>
                <w:rFonts w:ascii="宋体" w:hAnsi="宋体" w:cs="宋体"/>
                <w:bCs/>
                <w:sz w:val="24"/>
                <w:highlight w:val="none"/>
              </w:rPr>
            </w:pPr>
            <w:r>
              <w:rPr>
                <w:rFonts w:hint="eastAsia" w:ascii="宋体" w:hAnsi="宋体" w:cs="宋体"/>
                <w:bCs/>
                <w:sz w:val="24"/>
                <w:highlight w:val="none"/>
              </w:rPr>
              <w:t xml:space="preserve">投标人为本项目配备的项目组其他成员（项目负责人除外）中，</w:t>
            </w:r>
            <w:r/>
          </w:p>
          <w:p>
            <w:pPr>
              <w:pStyle w:val="913"/>
              <w:ind w:right="-61" w:firstLine="0"/>
              <w:spacing w:line="400" w:lineRule="exact"/>
              <w:rPr>
                <w:rFonts w:ascii="宋体" w:hAnsi="宋体" w:cs="宋体"/>
                <w:sz w:val="24"/>
                <w:highlight w:val="none"/>
              </w:rPr>
            </w:pPr>
            <w:r>
              <w:rPr>
                <w:rFonts w:hint="eastAsia" w:ascii="宋体" w:hAnsi="宋体" w:cs="宋体"/>
                <w:bCs/>
                <w:sz w:val="24"/>
                <w:highlight w:val="none"/>
              </w:rPr>
              <w:t xml:space="preserve">①现场技术负责人（2分）：具有弱电系统工程师证书、软件设计师证书、IT服务或运维工程师证书，有一项证书得1分，最高得2分。</w:t>
            </w:r>
            <w:r/>
          </w:p>
          <w:p>
            <w:pPr>
              <w:pStyle w:val="913"/>
              <w:ind w:right="-61" w:firstLine="0"/>
              <w:spacing w:line="400" w:lineRule="exact"/>
              <w:rPr>
                <w:rFonts w:ascii="宋体" w:hAnsi="宋体" w:cs="宋体"/>
                <w:sz w:val="24"/>
                <w:highlight w:val="none"/>
              </w:rPr>
            </w:pPr>
            <w:r>
              <w:rPr>
                <w:rFonts w:hint="eastAsia" w:ascii="宋体" w:hAnsi="宋体" w:cs="宋体"/>
                <w:sz w:val="24"/>
                <w:highlight w:val="none"/>
              </w:rPr>
              <w:t xml:space="preserve">②安全技术人员（2分）：具备CISP注册信息安全专业人员证书、CISAW信息安全保障人员证书,有一项证书得1分，最高得2分。</w:t>
            </w:r>
            <w:r/>
          </w:p>
          <w:p>
            <w:pPr>
              <w:pStyle w:val="913"/>
              <w:numPr>
                <w:ilvl w:val="-1"/>
                <w:numId w:val="0"/>
              </w:numPr>
              <w:ind w:right="-61" w:firstLine="0"/>
              <w:spacing w:line="400" w:lineRule="exact"/>
              <w:rPr>
                <w:rFonts w:ascii="宋体" w:hAnsi="宋体" w:cs="宋体"/>
                <w:sz w:val="24"/>
                <w:highlight w:val="none"/>
              </w:rPr>
            </w:pPr>
            <w:r>
              <w:rPr>
                <w:rFonts w:hint="eastAsia" w:ascii="宋体" w:hAnsi="宋体" w:cs="宋体"/>
                <w:sz w:val="24"/>
                <w:highlight w:val="none"/>
              </w:rPr>
              <w:t xml:space="preserve">③其他人员（</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具备</w:t>
            </w:r>
            <w:r>
              <w:rPr>
                <w:rFonts w:hint="eastAsia" w:ascii="宋体" w:hAnsi="宋体" w:cs="宋体"/>
                <w:sz w:val="24"/>
                <w:highlight w:val="none"/>
              </w:rPr>
              <w:t xml:space="preserve">网络工程师证书</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信息系统项目管理师（高级）</w:t>
            </w:r>
            <w:r>
              <w:rPr>
                <w:rFonts w:hint="eastAsia" w:ascii="宋体" w:hAnsi="宋体" w:cs="宋体"/>
                <w:sz w:val="24"/>
                <w:highlight w:val="none"/>
                <w:lang w:val="en-US" w:eastAsia="zh-CN"/>
              </w:rPr>
              <w:t xml:space="preserve">的得0.5分，最高得1分。</w:t>
            </w:r>
            <w:r/>
          </w:p>
          <w:p>
            <w:pPr>
              <w:jc w:val="left"/>
              <w:keepLines w:val="0"/>
              <w:keepNext w:val="0"/>
              <w:widowControl/>
              <w:rPr>
                <w:rFonts w:ascii="宋体" w:hAnsi="宋体" w:cs="宋体"/>
                <w:b/>
                <w:sz w:val="24"/>
                <w:highlight w:val="none"/>
              </w:rPr>
              <w:suppressLineNumbers w:val="0"/>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③中同一人员具有多张证书不重复得分。</w:t>
            </w:r>
            <w:r>
              <w:rPr>
                <w:rFonts w:hint="eastAsia" w:ascii="宋体" w:hAnsi="宋体" w:eastAsia="宋体" w:cs="宋体"/>
                <w:b/>
                <w:bCs/>
                <w:color w:val="000000"/>
                <w:sz w:val="24"/>
                <w:szCs w:val="24"/>
                <w:lang w:val="en-US" w:eastAsia="zh-CN" w:bidi="ar"/>
              </w:rPr>
              <w:t xml:space="preserve">须提供人员名单、证书扫描件</w:t>
            </w:r>
            <w:r>
              <w:rPr>
                <w:rFonts w:hint="eastAsia" w:ascii="宋体" w:hAnsi="宋体" w:eastAsia="宋体" w:cs="Times New Roman"/>
                <w:b/>
                <w:bCs/>
                <w:sz w:val="24"/>
                <w:szCs w:val="24"/>
                <w:highlight w:val="none"/>
              </w:rPr>
              <w:t xml:space="preserve">，且须提供本单位近3个月（含投标当月）中任意1个月份为其缴纳社保的证明扫描件</w:t>
            </w:r>
            <w:r>
              <w:rPr>
                <w:rFonts w:hint="eastAsia" w:ascii="宋体" w:hAnsi="宋体" w:cs="宋体"/>
                <w:b/>
                <w:sz w:val="24"/>
                <w:highlight w:val="none"/>
              </w:rPr>
              <w:t xml:space="preserve">】</w:t>
            </w:r>
            <w:r/>
          </w:p>
        </w:tc>
        <w:tc>
          <w:tcPr>
            <w:tcBorders>
              <w:top w:val="single" w:color="auto" w:sz="6" w:space="0"/>
              <w:left w:val="single" w:color="auto" w:sz="6" w:space="0"/>
              <w:bottom w:val="single" w:color="auto" w:sz="6" w:space="0"/>
              <w:right w:val="single" w:color="auto" w:sz="8" w:space="0"/>
            </w:tcBorders>
            <w:tcW w:w="669" w:type="dxa"/>
            <w:vAlign w:val="center"/>
            <w:textDirection w:val="lrTb"/>
            <w:noWrap w:val="false"/>
          </w:tcPr>
          <w:p>
            <w:pPr>
              <w:ind w:right="-61"/>
              <w:jc w:val="center"/>
              <w:spacing w:line="400" w:lineRule="exact"/>
              <w:rPr>
                <w:rFonts w:ascii="宋体" w:hAnsi="宋体" w:cs="宋体"/>
                <w:sz w:val="24"/>
                <w:highlight w:val="none"/>
              </w:rPr>
            </w:pPr>
            <w:r>
              <w:rPr>
                <w:rFonts w:hint="eastAsia" w:ascii="宋体" w:hAnsi="宋体" w:cs="宋体"/>
                <w:sz w:val="24"/>
                <w:highlight w:val="none"/>
              </w:rPr>
              <w:t xml:space="preserve">5</w:t>
            </w:r>
            <w:r/>
          </w:p>
        </w:tc>
      </w:tr>
      <w:tr>
        <w:trPr>
          <w:jc w:val="center"/>
        </w:trPr>
        <w:tc>
          <w:tcPr>
            <w:tcBorders>
              <w:left w:val="single" w:color="auto" w:sz="8" w:space="0"/>
              <w:bottom w:val="single" w:color="auto" w:sz="8" w:space="0"/>
              <w:right w:val="single" w:color="auto" w:sz="6" w:space="0"/>
            </w:tcBorders>
            <w:tcW w:w="1219" w:type="dxa"/>
            <w:vAlign w:val="center"/>
            <w:vMerge w:val="continue"/>
            <w:textDirection w:val="lrTb"/>
            <w:noWrap w:val="false"/>
          </w:tcPr>
          <w:p>
            <w:pPr>
              <w:ind w:right="-61" w:firstLine="480"/>
              <w:jc w:val="center"/>
              <w:spacing w:line="40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8" w:space="0"/>
              <w:right w:val="single" w:color="auto" w:sz="6" w:space="0"/>
            </w:tcBorders>
            <w:tcW w:w="85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3.5</w:t>
            </w:r>
            <w:r/>
          </w:p>
        </w:tc>
        <w:tc>
          <w:tcPr>
            <w:tcBorders>
              <w:top w:val="single" w:color="auto" w:sz="6" w:space="0"/>
              <w:left w:val="single" w:color="auto" w:sz="6" w:space="0"/>
              <w:bottom w:val="single" w:color="auto" w:sz="8" w:space="0"/>
              <w:right w:val="single" w:color="auto" w:sz="6" w:space="0"/>
            </w:tcBorders>
            <w:tcW w:w="128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成功案例</w:t>
            </w:r>
            <w:r/>
          </w:p>
        </w:tc>
        <w:tc>
          <w:tcPr>
            <w:tcBorders>
              <w:top w:val="single" w:color="auto" w:sz="6" w:space="0"/>
              <w:left w:val="single" w:color="auto" w:sz="6" w:space="0"/>
              <w:bottom w:val="single" w:color="auto" w:sz="8" w:space="0"/>
              <w:right w:val="single" w:color="auto" w:sz="6" w:space="0"/>
            </w:tcBorders>
            <w:tcW w:w="5358" w:type="dxa"/>
            <w:vAlign w:val="center"/>
            <w:textDirection w:val="lrTb"/>
            <w:noWrap w:val="false"/>
          </w:tcPr>
          <w:p>
            <w:pPr>
              <w:ind w:right="-61"/>
              <w:spacing w:line="400" w:lineRule="exact"/>
              <w:rPr>
                <w:rFonts w:ascii="宋体" w:hAnsi="宋体"/>
                <w:sz w:val="24"/>
                <w:highlight w:val="none"/>
              </w:rPr>
            </w:pPr>
            <w:r>
              <w:rPr>
                <w:rFonts w:hint="eastAsia" w:ascii="宋体" w:hAnsi="宋体"/>
                <w:sz w:val="24"/>
                <w:highlight w:val="none"/>
              </w:rPr>
              <w:t xml:space="preserve">2022年1月1日以来</w:t>
            </w:r>
            <w:r>
              <w:rPr>
                <w:rFonts w:hint="eastAsia" w:ascii="宋体" w:hAnsi="宋体" w:eastAsia="宋体" w:cs="宋体"/>
                <w:sz w:val="24"/>
                <w:szCs w:val="24"/>
                <w:highlight w:val="none"/>
              </w:rPr>
              <w:t xml:space="preserve">（以合同签订时间为准）</w:t>
            </w:r>
            <w:r>
              <w:rPr>
                <w:rFonts w:hint="eastAsia" w:ascii="宋体" w:hAnsi="宋体"/>
                <w:sz w:val="24"/>
                <w:highlight w:val="none"/>
              </w:rPr>
              <w:t xml:space="preserve">，</w:t>
            </w:r>
            <w:r>
              <w:rPr>
                <w:rFonts w:hint="eastAsia" w:ascii="宋体" w:hAnsi="宋体"/>
                <w:sz w:val="24"/>
                <w:highlight w:val="none"/>
                <w:lang w:val="en-US" w:eastAsia="zh-CN"/>
              </w:rPr>
              <w:t xml:space="preserve">投标人</w:t>
            </w:r>
            <w:r>
              <w:rPr>
                <w:rFonts w:hint="eastAsia" w:ascii="宋体" w:hAnsi="宋体"/>
                <w:sz w:val="24"/>
                <w:highlight w:val="none"/>
              </w:rPr>
              <w:t xml:space="preserve">具有类似信息化（须含LED大屏）建设项目成功案例的，每提供一个得0.5分，最高得2分，不提供的不得分。</w:t>
            </w:r>
            <w:r/>
          </w:p>
          <w:p>
            <w:pPr>
              <w:ind w:right="-61"/>
              <w:spacing w:line="400" w:lineRule="exact"/>
              <w:rPr>
                <w:rFonts w:ascii="宋体" w:hAnsi="宋体"/>
                <w:sz w:val="24"/>
                <w:highlight w:val="none"/>
              </w:rPr>
            </w:pPr>
            <w:r>
              <w:rPr>
                <w:rFonts w:hint="eastAsia" w:ascii="宋体" w:hAnsi="宋体" w:cs="宋体"/>
                <w:b/>
                <w:bCs w:val="0"/>
                <w:sz w:val="24"/>
                <w:highlight w:val="none"/>
                <w:lang w:eastAsia="zh-CN"/>
              </w:rPr>
              <w:t xml:space="preserve">（</w:t>
            </w:r>
            <w:r>
              <w:rPr>
                <w:rFonts w:ascii="宋体" w:hAnsi="宋体" w:cs="宋体"/>
                <w:b/>
                <w:sz w:val="24"/>
                <w:highlight w:val="none"/>
              </w:rPr>
              <w:t xml:space="preserve">须提供合同扫描件</w:t>
            </w:r>
            <w:r>
              <w:rPr>
                <w:rFonts w:hint="eastAsia" w:ascii="宋体" w:hAnsi="宋体" w:cs="宋体"/>
                <w:b/>
                <w:bCs w:val="0"/>
                <w:sz w:val="24"/>
                <w:highlight w:val="none"/>
                <w:lang w:eastAsia="zh-CN"/>
              </w:rPr>
              <w:t xml:space="preserve">）</w:t>
            </w:r>
            <w:r/>
          </w:p>
        </w:tc>
        <w:tc>
          <w:tcPr>
            <w:tcBorders>
              <w:top w:val="single" w:color="auto" w:sz="6" w:space="0"/>
              <w:left w:val="single" w:color="auto" w:sz="6" w:space="0"/>
              <w:bottom w:val="single" w:color="auto" w:sz="8" w:space="0"/>
              <w:right w:val="single" w:color="auto" w:sz="8" w:space="0"/>
            </w:tcBorders>
            <w:tcW w:w="669" w:type="dxa"/>
            <w:vAlign w:val="center"/>
            <w:textDirection w:val="lrTb"/>
            <w:noWrap w:val="false"/>
          </w:tcPr>
          <w:p>
            <w:pPr>
              <w:ind w:right="-61"/>
              <w:jc w:val="center"/>
              <w:spacing w:line="400" w:lineRule="exact"/>
              <w:rPr>
                <w:rFonts w:hint="eastAsia" w:ascii="宋体" w:hAnsi="宋体" w:cs="宋体" w:eastAsiaTheme="minorEastAsia"/>
                <w:sz w:val="24"/>
                <w:highlight w:val="none"/>
                <w:lang w:eastAsia="zh-CN"/>
              </w:rPr>
            </w:pPr>
            <w:r>
              <w:rPr>
                <w:rFonts w:hint="eastAsia" w:ascii="宋体" w:hAnsi="宋体" w:cs="宋体"/>
                <w:sz w:val="24"/>
                <w:highlight w:val="none"/>
                <w:lang w:val="en-US" w:eastAsia="zh-CN"/>
              </w:rPr>
              <w:t xml:space="preserve">2</w:t>
            </w:r>
            <w:r/>
          </w:p>
        </w:tc>
      </w:tr>
    </w:tbl>
    <w:p>
      <w:pPr>
        <w:jc w:val="center"/>
        <w:spacing w:line="400" w:lineRule="exact"/>
        <w:rPr>
          <w:rFonts w:hint="eastAsia" w:ascii="黑体" w:hAnsi="宋体" w:eastAsia="黑体"/>
          <w:color w:val="auto"/>
          <w:sz w:val="30"/>
          <w:szCs w:val="30"/>
          <w:highlight w:val="none"/>
        </w:rPr>
        <w:outlineLvl w:val="9"/>
      </w:pPr>
      <w:r>
        <w:rPr>
          <w:rFonts w:hint="eastAsia" w:ascii="黑体" w:hAnsi="宋体" w:eastAsia="黑体"/>
          <w:color w:val="auto"/>
          <w:sz w:val="30"/>
          <w:szCs w:val="30"/>
          <w:highlight w:val="none"/>
        </w:rPr>
      </w:r>
      <w:r/>
    </w:p>
    <w:p>
      <w:pPr>
        <w:spacing w:line="400" w:lineRule="exact"/>
        <w:rPr>
          <w:rFonts w:ascii="宋体" w:hAnsi="宋体" w:eastAsia="宋体" w:cs="Times New Roman"/>
          <w:sz w:val="24"/>
          <w:szCs w:val="24"/>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highlight w:val="none"/>
        </w:rPr>
      </w:r>
      <w:r/>
    </w:p>
    <w:p>
      <w:pPr>
        <w:pStyle w:val="887"/>
        <w:rPr>
          <w:highlight w:val="none"/>
        </w:rPr>
        <w:outlineLvl w:val="9"/>
      </w:pPr>
      <w:r/>
      <w:bookmarkStart w:id="28" w:name="_Toc251268363"/>
      <w:r/>
      <w:r/>
    </w:p>
    <w:p>
      <w:pPr>
        <w:pStyle w:val="887"/>
        <w:rPr>
          <w:highlight w:val="none"/>
        </w:rPr>
      </w:pPr>
      <w:r/>
      <w:bookmarkStart w:id="29" w:name="_Toc12146"/>
      <w:r>
        <w:rPr>
          <w:rFonts w:hint="eastAsia"/>
          <w:highlight w:val="none"/>
        </w:rPr>
        <w:t xml:space="preserve">第五章　合同书（格式）</w:t>
      </w:r>
      <w:bookmarkEnd w:id="29"/>
      <w:r/>
      <w:r/>
    </w:p>
    <w:p>
      <w:pPr>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、除《中华人民共和国政府采购法》第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bookmarkEnd w:id="28"/>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67"/>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887"/>
        <w:rPr>
          <w:highlight w:val="none"/>
        </w:rPr>
        <w:outlineLvl w:val="9"/>
      </w:pPr>
      <w:r>
        <w:rPr>
          <w:highlight w:val="none"/>
        </w:rPr>
      </w:r>
      <w:r/>
    </w:p>
    <w:p>
      <w:pPr>
        <w:pStyle w:val="887"/>
        <w:rPr>
          <w:highlight w:val="none"/>
        </w:rPr>
      </w:pPr>
      <w:r/>
      <w:bookmarkStart w:id="30" w:name="_Toc3567"/>
      <w:r>
        <w:rPr>
          <w:rFonts w:hint="eastAsia"/>
          <w:highlight w:val="none"/>
        </w:rPr>
        <w:t xml:space="preserve">第六章　投标文件的组成和格式</w:t>
      </w:r>
      <w:bookmarkEnd w:id="30"/>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31" w:name="_Toc194739809"/>
      <w:r/>
      <w:bookmarkStart w:id="32"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JSZC-320281-JZCG-G2025-0103</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江阴市公安局指挥中心环境升级改造项目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33" w:name="_Toc145474400"/>
      <w:r/>
      <w:bookmarkStart w:id="34" w:name="_Toc194386107"/>
      <w:r/>
      <w:bookmarkStart w:id="35" w:name="_Toc15869178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33"/>
      <w:r/>
      <w:bookmarkEnd w:id="34"/>
      <w:r/>
      <w:bookmarkEnd w:id="35"/>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36" w:name="_Toc158691783"/>
      <w:r/>
      <w:bookmarkStart w:id="37" w:name="_Toc129333640"/>
      <w:r/>
      <w:bookmarkStart w:id="38"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31"/>
      <w:r/>
      <w:bookmarkEnd w:id="32"/>
      <w:r/>
      <w:bookmarkEnd w:id="36"/>
      <w:r/>
      <w:bookmarkEnd w:id="37"/>
      <w:r/>
      <w:bookmarkEnd w:id="38"/>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（一）硬件设备</w:t>
      </w:r>
      <w:r/>
    </w:p>
    <w:tbl>
      <w:tblPr>
        <w:tblStyle w:val="867"/>
        <w:tblW w:w="500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75"/>
        <w:gridCol w:w="791"/>
        <w:gridCol w:w="827"/>
        <w:gridCol w:w="1099"/>
        <w:gridCol w:w="1235"/>
        <w:gridCol w:w="731"/>
        <w:gridCol w:w="851"/>
        <w:gridCol w:w="708"/>
        <w:gridCol w:w="709"/>
        <w:gridCol w:w="1276"/>
        <w:gridCol w:w="726"/>
        <w:gridCol w:w="10"/>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是否属于     小、微型企业产品</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（二）软件系统</w:t>
      </w:r>
      <w:r/>
    </w:p>
    <w:tbl>
      <w:tblPr>
        <w:tblStyle w:val="86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2"/>
        <w:gridCol w:w="2513"/>
        <w:gridCol w:w="2514"/>
        <w:gridCol w:w="2513"/>
        <w:gridCol w:w="1096"/>
      </w:tblGrid>
      <w:tr>
        <w:trPr>
          <w:jc w:val="center"/>
          <w:trHeight w:val="360"/>
        </w:trPr>
        <w:tc>
          <w:tcPr>
            <w:tcW w:w="101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系统名称</w:t>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核心子系统或模块</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实现功能</w:t>
            </w:r>
            <w:r/>
          </w:p>
        </w:tc>
        <w:tc>
          <w:tcPr>
            <w:tcW w:w="112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204"/>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4"/>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1019"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4"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b/>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投标单位对所报相关数据的真实性负责，江阴市政府采购中心有权将相关内容进行公示；</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6、如有需要说明的事项，请在备注中列明。</w:t>
      </w:r>
      <w:r/>
    </w:p>
    <w:p>
      <w:pPr>
        <w:ind w:firstLine="420"/>
        <w:spacing w:line="360" w:lineRule="exact"/>
        <w:rPr>
          <w:rFonts w:ascii="宋体" w:hAnsi="宋体" w:eastAsia="宋体" w:cs="Times New Roman"/>
          <w:bCs/>
          <w:sz w:val="24"/>
          <w:szCs w:val="24"/>
        </w:rPr>
      </w:pPr>
      <w:r>
        <w:rPr>
          <w:rFonts w:hint="eastAsia" w:ascii="宋体" w:hAnsi="宋体" w:eastAsia="宋体" w:cs="Times New Roman"/>
          <w:szCs w:val="21"/>
        </w:rPr>
        <w:t xml:space="preserve">7、监狱企业、残疾人福利性单位视同小型、微型企业。</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6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6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lang w:val="en-US" w:eastAsia="zh-CN"/>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67"/>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67"/>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lang w:val="en-US" w:eastAsia="zh-CN"/>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w:t>
      </w:r>
      <w:r>
        <w:rPr>
          <w:rFonts w:hint="eastAsia" w:ascii="宋体" w:hAnsi="宋体" w:eastAsia="宋体" w:cs="仿宋"/>
          <w:sz w:val="24"/>
          <w:szCs w:val="24"/>
          <w:u w:val="single"/>
          <w:lang w:val="en-US" w:eastAsia="zh-CN"/>
        </w:rPr>
        <w:t xml:space="preserve">公安局</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val="en-US" w:eastAsia="zh-CN"/>
        </w:rPr>
        <w:t xml:space="preserve">江阴市公安局</w:t>
      </w:r>
      <w:r>
        <w:rPr>
          <w:rFonts w:hint="eastAsia" w:ascii="宋体" w:hAnsi="宋体" w:eastAsia="宋体" w:cs="仿宋"/>
          <w:sz w:val="24"/>
          <w:szCs w:val="24"/>
          <w:u w:val="single"/>
          <w:lang w:eastAsia="zh-CN"/>
        </w:rPr>
        <w:t xml:space="preserve">指挥中心环境升级改造项目</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（采购文件中明确的所属行业）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（采购文件中明确的所属行业）</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Tahoma">
    <w:panose1 w:val="020B0604030504040204"/>
  </w:font>
  <w:font w:name="Symbol">
    <w:panose1 w:val="05050102010706020507"/>
  </w:font>
  <w:font w:name="Wingdings">
    <w:panose1 w:val="05000000000000000000"/>
  </w:font>
  <w:font w:name="东文宋体">
    <w:panose1 w:val="020B0503020202020204"/>
  </w:font>
  <w:font w:name="Courier New">
    <w:panose1 w:val="02070309020205020404"/>
  </w:font>
  <w:font w:name="仿宋">
    <w:panose1 w:val="02010609060101010101"/>
  </w:font>
  <w:font w:name="等线">
    <w:panose1 w:val="02010600030101010101"/>
  </w:font>
  <w:font w:name="Calibri">
    <w:panose1 w:val="020F0502020204030204"/>
  </w:font>
  <w:font w:name="Batang">
    <w:panose1 w:val="02010600040101010101"/>
  </w:font>
  <w:font w:name="微软雅黑">
    <w:panose1 w:val="020B0503020204020204"/>
  </w:font>
  <w:font w:name="黑体">
    <w:panose1 w:val="02010609060101010101"/>
  </w:font>
  <w:font w:name="楷体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79"/>
          <w:jc w:val="center"/>
        </w:pPr>
        <w:r>
          <w:fldChar w:fldCharType="begin"/>
        </w:r>
        <w:r>
          <w:instrText xml:space="preserve">PAGE   \* MERGEFORMAT</w:instrText>
        </w:r>
        <w:r>
          <w:fldChar w:fldCharType="separate"/>
        </w:r>
        <w:r>
          <w:rPr>
            <w:lang w:val="zh-CN"/>
          </w:rPr>
          <w:t xml:space="preserve">-</w:t>
        </w:r>
        <w:r>
          <w:t xml:space="preserve"> 54 -</w:t>
        </w:r>
        <w:r>
          <w:fldChar w:fldCharType="end"/>
        </w:r>
        <w:r/>
      </w:p>
    </w:sdtContent>
  </w:sdt>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p>
  <w:p>
    <w:pPr>
      <w:pStyle w:val="87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黑体" w:hAnsi="黑体" w:eastAsia="黑体" w:cs="Times New Roman"/>
        <w:sz w:val="18"/>
        <w:szCs w:val="18"/>
      </w:rPr>
      <w:pBdr>
        <w:bottom w:val="single" w:color="auto" w:sz="6" w:space="1"/>
      </w:pBdr>
    </w:pPr>
    <w:r>
      <w:rPr>
        <w:rFonts w:hint="eastAsia" w:ascii="黑体" w:hAnsi="黑体" w:eastAsia="黑体" w:cs="Times New Roman"/>
        <w:bCs/>
        <w:sz w:val="18"/>
        <w:szCs w:val="18"/>
        <w:lang w:eastAsia="zh-CN"/>
      </w:rPr>
      <w:t xml:space="preserve">JSZC-320281-JZCG-G2025-0103江阴市公安局指挥中心环境升级改造项目</w:t>
    </w:r>
    <w:r>
      <w:rPr>
        <w:rFonts w:hint="eastAsia" w:ascii="黑体" w:hAnsi="黑体" w:eastAsia="黑体" w:cs="Times New Roman"/>
        <w:bCs/>
        <w:sz w:val="18"/>
        <w:szCs w:val="18"/>
      </w:rPr>
      <w:t xml:space="preserve">                  江阴市政</w:t>
    </w:r>
    <w:r>
      <w:rPr>
        <w:rFonts w:ascii="黑体" w:hAnsi="黑体" w:eastAsia="黑体" w:cs="Times New Roman"/>
        <w:bCs/>
        <w:sz w:val="18"/>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2">
    <w:multiLevelType w:val="hybridMultilevel"/>
    <w:lvl w:ilvl="0">
      <w:start w:val="1"/>
      <w:numFmt w:val="decimal"/>
      <w:isLgl w:val="false"/>
      <w:suff w:val="tab"/>
      <w:lvlText w:val="%1"/>
      <w:lvlJc w:val="left"/>
      <w:pPr>
        <w:ind w:left="432" w:hanging="432"/>
      </w:pPr>
    </w:lvl>
    <w:lvl w:ilvl="1">
      <w:start w:val="1"/>
      <w:numFmt w:val="decimal"/>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pStyle w:val="865"/>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3">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4">
    <w:multiLevelType w:val="hybridMultilevel"/>
    <w:lvl w:ilvl="0">
      <w:start w:val="1"/>
      <w:numFmt w:val="bullet"/>
      <w:isLgl w:val="false"/>
      <w:suff w:val="tab"/>
      <w:lvlText w:val=""/>
      <w:lvlJc w:val="left"/>
      <w:pPr>
        <w:ind w:left="865" w:hanging="440"/>
      </w:pPr>
      <w:rPr>
        <w:rFonts w:hint="default" w:ascii="Wingdings" w:hAnsi="Wingdings"/>
      </w:rPr>
    </w:lvl>
    <w:lvl w:ilvl="1">
      <w:start w:val="1"/>
      <w:numFmt w:val="bullet"/>
      <w:isLgl w:val="false"/>
      <w:suff w:val="tab"/>
      <w:lvlText w:val=""/>
      <w:lvlJc w:val="left"/>
      <w:pPr>
        <w:ind w:left="1305" w:hanging="440"/>
      </w:pPr>
      <w:rPr>
        <w:rFonts w:hint="default" w:ascii="Wingdings" w:hAnsi="Wingdings"/>
      </w:rPr>
    </w:lvl>
    <w:lvl w:ilvl="2">
      <w:start w:val="1"/>
      <w:numFmt w:val="bullet"/>
      <w:isLgl w:val="false"/>
      <w:suff w:val="tab"/>
      <w:lvlText w:val=""/>
      <w:lvlJc w:val="left"/>
      <w:pPr>
        <w:ind w:left="1745" w:hanging="440"/>
      </w:pPr>
      <w:rPr>
        <w:rFonts w:hint="default" w:ascii="Wingdings" w:hAnsi="Wingdings"/>
      </w:rPr>
    </w:lvl>
    <w:lvl w:ilvl="3">
      <w:start w:val="1"/>
      <w:numFmt w:val="bullet"/>
      <w:isLgl w:val="false"/>
      <w:suff w:val="tab"/>
      <w:lvlText w:val=""/>
      <w:lvlJc w:val="left"/>
      <w:pPr>
        <w:ind w:left="2185" w:hanging="440"/>
      </w:pPr>
      <w:rPr>
        <w:rFonts w:hint="default" w:ascii="Wingdings" w:hAnsi="Wingdings"/>
      </w:rPr>
    </w:lvl>
    <w:lvl w:ilvl="4">
      <w:start w:val="1"/>
      <w:numFmt w:val="bullet"/>
      <w:isLgl w:val="false"/>
      <w:suff w:val="tab"/>
      <w:lvlText w:val=""/>
      <w:lvlJc w:val="left"/>
      <w:pPr>
        <w:ind w:left="2625" w:hanging="440"/>
      </w:pPr>
      <w:rPr>
        <w:rFonts w:hint="default" w:ascii="Wingdings" w:hAnsi="Wingdings"/>
      </w:rPr>
    </w:lvl>
    <w:lvl w:ilvl="5">
      <w:start w:val="1"/>
      <w:numFmt w:val="bullet"/>
      <w:isLgl w:val="false"/>
      <w:suff w:val="tab"/>
      <w:lvlText w:val=""/>
      <w:lvlJc w:val="left"/>
      <w:pPr>
        <w:ind w:left="3065" w:hanging="440"/>
      </w:pPr>
      <w:rPr>
        <w:rFonts w:hint="default" w:ascii="Wingdings" w:hAnsi="Wingdings"/>
      </w:rPr>
    </w:lvl>
    <w:lvl w:ilvl="6">
      <w:start w:val="1"/>
      <w:numFmt w:val="bullet"/>
      <w:isLgl w:val="false"/>
      <w:suff w:val="tab"/>
      <w:lvlText w:val=""/>
      <w:lvlJc w:val="left"/>
      <w:pPr>
        <w:ind w:left="3505" w:hanging="440"/>
      </w:pPr>
      <w:rPr>
        <w:rFonts w:hint="default" w:ascii="Wingdings" w:hAnsi="Wingdings"/>
      </w:rPr>
    </w:lvl>
    <w:lvl w:ilvl="7">
      <w:start w:val="1"/>
      <w:numFmt w:val="bullet"/>
      <w:isLgl w:val="false"/>
      <w:suff w:val="tab"/>
      <w:lvlText w:val=""/>
      <w:lvlJc w:val="left"/>
      <w:pPr>
        <w:ind w:left="3945" w:hanging="440"/>
      </w:pPr>
      <w:rPr>
        <w:rFonts w:hint="default" w:ascii="Wingdings" w:hAnsi="Wingdings"/>
      </w:rPr>
    </w:lvl>
    <w:lvl w:ilvl="8">
      <w:start w:val="1"/>
      <w:numFmt w:val="bullet"/>
      <w:isLgl w:val="false"/>
      <w:suff w:val="tab"/>
      <w:lvlText w:val=""/>
      <w:lvlJc w:val="left"/>
      <w:pPr>
        <w:ind w:left="4385" w:hanging="440"/>
      </w:pPr>
      <w:rPr>
        <w:rFonts w:hint="default" w:ascii="Wingdings" w:hAnsi="Wingdings"/>
      </w:rPr>
    </w:lvl>
  </w:abstractNum>
  <w:abstractNum w:abstractNumId="5">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6">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num w:numId="1">
    <w:abstractNumId w:val="2"/>
  </w:num>
  <w:num w:numId="2">
    <w:abstractNumId w:val="3"/>
  </w:num>
  <w:num w:numId="3">
    <w:abstractNumId w:val="0"/>
  </w:num>
  <w:num w:numId="4">
    <w:abstractNumId w:val="5"/>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66"/>
    <w:link w:val="863"/>
    <w:uiPriority w:val="9"/>
    <w:rPr>
      <w:rFonts w:ascii="Arial" w:hAnsi="Arial" w:eastAsia="Arial" w:cs="Arial"/>
      <w:sz w:val="40"/>
      <w:szCs w:val="40"/>
    </w:rPr>
  </w:style>
  <w:style w:type="paragraph" w:styleId="704">
    <w:name w:val="Heading 2"/>
    <w:basedOn w:val="862"/>
    <w:next w:val="862"/>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basedOn w:val="866"/>
    <w:link w:val="704"/>
    <w:uiPriority w:val="9"/>
    <w:rPr>
      <w:rFonts w:ascii="Arial" w:hAnsi="Arial" w:eastAsia="Arial" w:cs="Arial"/>
      <w:sz w:val="34"/>
    </w:rPr>
  </w:style>
  <w:style w:type="character" w:styleId="706">
    <w:name w:val="Heading 3 Char"/>
    <w:basedOn w:val="866"/>
    <w:link w:val="864"/>
    <w:uiPriority w:val="9"/>
    <w:rPr>
      <w:rFonts w:ascii="Arial" w:hAnsi="Arial" w:eastAsia="Arial" w:cs="Arial"/>
      <w:sz w:val="30"/>
      <w:szCs w:val="30"/>
    </w:rPr>
  </w:style>
  <w:style w:type="character" w:styleId="707">
    <w:name w:val="Heading 4 Char"/>
    <w:basedOn w:val="866"/>
    <w:link w:val="865"/>
    <w:uiPriority w:val="9"/>
    <w:rPr>
      <w:rFonts w:ascii="Arial" w:hAnsi="Arial" w:eastAsia="Arial" w:cs="Arial"/>
      <w:b/>
      <w:bCs/>
      <w:sz w:val="26"/>
      <w:szCs w:val="26"/>
    </w:rPr>
  </w:style>
  <w:style w:type="paragraph" w:styleId="708">
    <w:name w:val="Heading 5"/>
    <w:basedOn w:val="862"/>
    <w:next w:val="862"/>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basedOn w:val="866"/>
    <w:link w:val="708"/>
    <w:uiPriority w:val="9"/>
    <w:rPr>
      <w:rFonts w:ascii="Arial" w:hAnsi="Arial" w:eastAsia="Arial" w:cs="Arial"/>
      <w:b/>
      <w:bCs/>
      <w:sz w:val="24"/>
      <w:szCs w:val="24"/>
    </w:rPr>
  </w:style>
  <w:style w:type="paragraph" w:styleId="710">
    <w:name w:val="Heading 6"/>
    <w:basedOn w:val="862"/>
    <w:next w:val="862"/>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basedOn w:val="866"/>
    <w:link w:val="710"/>
    <w:uiPriority w:val="9"/>
    <w:rPr>
      <w:rFonts w:ascii="Arial" w:hAnsi="Arial" w:eastAsia="Arial" w:cs="Arial"/>
      <w:b/>
      <w:bCs/>
      <w:sz w:val="22"/>
      <w:szCs w:val="22"/>
    </w:rPr>
  </w:style>
  <w:style w:type="paragraph" w:styleId="712">
    <w:name w:val="Heading 7"/>
    <w:basedOn w:val="862"/>
    <w:next w:val="862"/>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basedOn w:val="866"/>
    <w:link w:val="712"/>
    <w:uiPriority w:val="9"/>
    <w:rPr>
      <w:rFonts w:ascii="Arial" w:hAnsi="Arial" w:eastAsia="Arial" w:cs="Arial"/>
      <w:b/>
      <w:bCs/>
      <w:i/>
      <w:iCs/>
      <w:sz w:val="22"/>
      <w:szCs w:val="22"/>
    </w:rPr>
  </w:style>
  <w:style w:type="paragraph" w:styleId="714">
    <w:name w:val="Heading 8"/>
    <w:basedOn w:val="862"/>
    <w:next w:val="862"/>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basedOn w:val="866"/>
    <w:link w:val="714"/>
    <w:uiPriority w:val="9"/>
    <w:rPr>
      <w:rFonts w:ascii="Arial" w:hAnsi="Arial" w:eastAsia="Arial" w:cs="Arial"/>
      <w:i/>
      <w:iCs/>
      <w:sz w:val="22"/>
      <w:szCs w:val="22"/>
    </w:rPr>
  </w:style>
  <w:style w:type="paragraph" w:styleId="716">
    <w:name w:val="Heading 9"/>
    <w:basedOn w:val="862"/>
    <w:next w:val="862"/>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basedOn w:val="866"/>
    <w:link w:val="716"/>
    <w:uiPriority w:val="9"/>
    <w:rPr>
      <w:rFonts w:ascii="Arial" w:hAnsi="Arial" w:eastAsia="Arial" w:cs="Arial"/>
      <w:i/>
      <w:iCs/>
      <w:sz w:val="21"/>
      <w:szCs w:val="21"/>
    </w:rPr>
  </w:style>
  <w:style w:type="character" w:styleId="718">
    <w:name w:val="Title Char"/>
    <w:basedOn w:val="866"/>
    <w:link w:val="887"/>
    <w:uiPriority w:val="10"/>
    <w:rPr>
      <w:sz w:val="48"/>
      <w:szCs w:val="48"/>
    </w:rPr>
  </w:style>
  <w:style w:type="paragraph" w:styleId="719">
    <w:name w:val="Subtitle"/>
    <w:basedOn w:val="862"/>
    <w:next w:val="862"/>
    <w:link w:val="720"/>
    <w:uiPriority w:val="11"/>
    <w:qFormat/>
    <w:pPr>
      <w:spacing w:before="200" w:after="200"/>
    </w:pPr>
    <w:rPr>
      <w:sz w:val="24"/>
      <w:szCs w:val="24"/>
    </w:rPr>
  </w:style>
  <w:style w:type="character" w:styleId="720">
    <w:name w:val="Subtitle Char"/>
    <w:basedOn w:val="866"/>
    <w:link w:val="719"/>
    <w:uiPriority w:val="11"/>
    <w:rPr>
      <w:sz w:val="24"/>
      <w:szCs w:val="24"/>
    </w:rPr>
  </w:style>
  <w:style w:type="paragraph" w:styleId="721">
    <w:name w:val="Quote"/>
    <w:basedOn w:val="862"/>
    <w:next w:val="862"/>
    <w:link w:val="722"/>
    <w:uiPriority w:val="29"/>
    <w:qFormat/>
    <w:pPr>
      <w:ind w:left="720" w:right="720"/>
    </w:pPr>
    <w:rPr>
      <w:i/>
    </w:rPr>
  </w:style>
  <w:style w:type="character" w:styleId="722">
    <w:name w:val="Quote Char"/>
    <w:link w:val="721"/>
    <w:uiPriority w:val="29"/>
    <w:rPr>
      <w:i/>
    </w:rPr>
  </w:style>
  <w:style w:type="paragraph" w:styleId="723">
    <w:name w:val="Intense Quote"/>
    <w:basedOn w:val="862"/>
    <w:next w:val="86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66"/>
    <w:link w:val="880"/>
    <w:uiPriority w:val="99"/>
  </w:style>
  <w:style w:type="character" w:styleId="726">
    <w:name w:val="Footer Char"/>
    <w:basedOn w:val="866"/>
    <w:link w:val="879"/>
    <w:uiPriority w:val="99"/>
  </w:style>
  <w:style w:type="paragraph" w:styleId="727">
    <w:name w:val="Caption"/>
    <w:basedOn w:val="862"/>
    <w:next w:val="862"/>
    <w:uiPriority w:val="35"/>
    <w:semiHidden/>
    <w:unhideWhenUsed/>
    <w:qFormat/>
    <w:pPr>
      <w:spacing w:line="276" w:lineRule="auto"/>
    </w:pPr>
    <w:rPr>
      <w:b/>
      <w:bCs/>
      <w:color w:val="4f81bd" w:themeColor="accent1"/>
      <w:sz w:val="18"/>
      <w:szCs w:val="18"/>
    </w:rPr>
  </w:style>
  <w:style w:type="character" w:styleId="728">
    <w:name w:val="Caption Char"/>
    <w:basedOn w:val="727"/>
    <w:link w:val="879"/>
    <w:uiPriority w:val="99"/>
  </w:style>
  <w:style w:type="table" w:styleId="729">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66"/>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66"/>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3">
    <w:name w:val="Heading 1"/>
    <w:basedOn w:val="862"/>
    <w:next w:val="862"/>
    <w:uiPriority w:val="9"/>
    <w:qFormat/>
    <w:pPr>
      <w:keepLines/>
      <w:keepNext/>
      <w:spacing w:before="340" w:after="330" w:line="578" w:lineRule="auto"/>
      <w:outlineLvl w:val="0"/>
    </w:pPr>
    <w:rPr>
      <w:b/>
      <w:bCs/>
      <w:sz w:val="44"/>
      <w:szCs w:val="44"/>
    </w:rPr>
  </w:style>
  <w:style w:type="paragraph" w:styleId="864">
    <w:name w:val="Heading 3"/>
    <w:basedOn w:val="862"/>
    <w:next w:val="862"/>
    <w:uiPriority w:val="9"/>
    <w:qFormat/>
    <w:pPr>
      <w:keepLines/>
      <w:keepNext/>
      <w:spacing w:before="260" w:after="260" w:line="413" w:lineRule="auto"/>
      <w:outlineLvl w:val="2"/>
    </w:pPr>
    <w:rPr>
      <w:b/>
      <w:bCs/>
      <w:sz w:val="32"/>
      <w:szCs w:val="32"/>
    </w:rPr>
  </w:style>
  <w:style w:type="paragraph" w:styleId="865">
    <w:name w:val="Heading 4"/>
    <w:basedOn w:val="862"/>
    <w:next w:val="862"/>
    <w:link w:val="911"/>
    <w:uiPriority w:val="9"/>
    <w:unhideWhenUsed/>
    <w:qFormat/>
    <w:pPr>
      <w:numPr>
        <w:ilvl w:val="3"/>
        <w:numId w:val="1"/>
      </w:numPr>
      <w:ind w:left="0" w:firstLine="0"/>
      <w:keepLines/>
      <w:keepNext/>
      <w:spacing w:line="377" w:lineRule="auto"/>
      <w:outlineLvl w:val="3"/>
    </w:pPr>
    <w:rPr>
      <w:rFonts w:asciiTheme="majorHAnsi" w:hAnsiTheme="majorHAnsi" w:cstheme="majorBidi"/>
      <w:b/>
      <w:bCs/>
      <w:szCs w:val="28"/>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62"/>
    <w:next w:val="862"/>
    <w:uiPriority w:val="39"/>
    <w:unhideWhenUsed/>
    <w:qFormat/>
    <w:pPr>
      <w:ind w:left="1260"/>
      <w:jc w:val="left"/>
    </w:pPr>
    <w:rPr>
      <w:sz w:val="18"/>
      <w:szCs w:val="18"/>
    </w:rPr>
  </w:style>
  <w:style w:type="paragraph" w:styleId="869">
    <w:name w:val="Normal Indent"/>
    <w:basedOn w:val="862"/>
    <w:uiPriority w:val="99"/>
    <w:qFormat/>
    <w:pPr>
      <w:ind w:firstLine="420"/>
      <w:jc w:val="left"/>
      <w:widowControl/>
    </w:pPr>
    <w:rPr>
      <w:rFonts w:eastAsia="楷体_GB2312"/>
      <w:sz w:val="24"/>
      <w:szCs w:val="20"/>
    </w:rPr>
  </w:style>
  <w:style w:type="paragraph" w:styleId="870">
    <w:name w:val="annotation text"/>
    <w:basedOn w:val="862"/>
    <w:link w:val="901"/>
    <w:uiPriority w:val="99"/>
    <w:semiHidden/>
    <w:unhideWhenUsed/>
    <w:qFormat/>
    <w:pPr>
      <w:jc w:val="left"/>
    </w:pPr>
  </w:style>
  <w:style w:type="paragraph" w:styleId="871">
    <w:name w:val="index 6"/>
    <w:basedOn w:val="862"/>
    <w:next w:val="862"/>
    <w:uiPriority w:val="99"/>
    <w:semiHidden/>
    <w:unhideWhenUsed/>
    <w:qFormat/>
    <w:pPr>
      <w:ind w:left="1000"/>
    </w:pPr>
  </w:style>
  <w:style w:type="paragraph" w:styleId="872">
    <w:name w:val="Body Text"/>
    <w:basedOn w:val="862"/>
    <w:link w:val="904"/>
    <w:uiPriority w:val="0"/>
    <w:qFormat/>
    <w:pPr>
      <w:spacing w:line="360" w:lineRule="auto"/>
    </w:pPr>
    <w:rPr>
      <w:rFonts w:ascii="楷体_GB2312" w:hAnsi="Times New Roman" w:eastAsia="楷体_GB2312" w:cs="Times New Roman"/>
      <w:bCs/>
      <w:sz w:val="28"/>
      <w:szCs w:val="24"/>
    </w:rPr>
  </w:style>
  <w:style w:type="paragraph" w:styleId="873">
    <w:name w:val="Body Text Indent"/>
    <w:basedOn w:val="862"/>
    <w:link w:val="908"/>
    <w:uiPriority w:val="99"/>
    <w:semiHidden/>
    <w:unhideWhenUsed/>
    <w:qFormat/>
    <w:pPr>
      <w:ind w:left="420"/>
      <w:spacing w:after="120"/>
    </w:pPr>
  </w:style>
  <w:style w:type="paragraph" w:styleId="874">
    <w:name w:val="Block Text"/>
    <w:basedOn w:val="862"/>
    <w:uiPriority w:val="0"/>
    <w:qFormat/>
    <w:pPr>
      <w:spacing w:line="400" w:lineRule="exact"/>
    </w:pPr>
    <w:rPr>
      <w:sz w:val="24"/>
    </w:rPr>
  </w:style>
  <w:style w:type="paragraph" w:styleId="875">
    <w:name w:val="toc 5"/>
    <w:basedOn w:val="862"/>
    <w:next w:val="862"/>
    <w:uiPriority w:val="39"/>
    <w:unhideWhenUsed/>
    <w:qFormat/>
    <w:pPr>
      <w:ind w:left="840"/>
      <w:jc w:val="left"/>
    </w:pPr>
    <w:rPr>
      <w:sz w:val="18"/>
      <w:szCs w:val="18"/>
    </w:rPr>
  </w:style>
  <w:style w:type="paragraph" w:styleId="876">
    <w:name w:val="toc 3"/>
    <w:basedOn w:val="862"/>
    <w:next w:val="862"/>
    <w:uiPriority w:val="39"/>
    <w:unhideWhenUsed/>
    <w:qFormat/>
    <w:pPr>
      <w:ind w:left="420"/>
      <w:jc w:val="left"/>
    </w:pPr>
    <w:rPr>
      <w:i/>
      <w:iCs/>
      <w:sz w:val="20"/>
      <w:szCs w:val="20"/>
    </w:rPr>
  </w:style>
  <w:style w:type="paragraph" w:styleId="877">
    <w:name w:val="toc 8"/>
    <w:basedOn w:val="862"/>
    <w:next w:val="862"/>
    <w:uiPriority w:val="39"/>
    <w:unhideWhenUsed/>
    <w:qFormat/>
    <w:pPr>
      <w:ind w:left="1470"/>
      <w:jc w:val="left"/>
    </w:pPr>
    <w:rPr>
      <w:sz w:val="18"/>
      <w:szCs w:val="18"/>
    </w:rPr>
  </w:style>
  <w:style w:type="paragraph" w:styleId="878">
    <w:name w:val="Balloon Text"/>
    <w:basedOn w:val="862"/>
    <w:link w:val="899"/>
    <w:uiPriority w:val="99"/>
    <w:semiHidden/>
    <w:unhideWhenUsed/>
    <w:qFormat/>
    <w:rPr>
      <w:sz w:val="18"/>
      <w:szCs w:val="18"/>
    </w:rPr>
  </w:style>
  <w:style w:type="paragraph" w:styleId="879">
    <w:name w:val="Footer"/>
    <w:basedOn w:val="862"/>
    <w:link w:val="897"/>
    <w:uiPriority w:val="99"/>
    <w:unhideWhenUsed/>
    <w:qFormat/>
    <w:pPr>
      <w:jc w:val="left"/>
      <w:tabs>
        <w:tab w:val="center" w:pos="4153" w:leader="none"/>
        <w:tab w:val="right" w:pos="8306" w:leader="none"/>
      </w:tabs>
    </w:pPr>
    <w:rPr>
      <w:sz w:val="18"/>
      <w:szCs w:val="18"/>
    </w:rPr>
  </w:style>
  <w:style w:type="paragraph" w:styleId="880">
    <w:name w:val="Header"/>
    <w:basedOn w:val="862"/>
    <w:link w:val="8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62"/>
    <w:next w:val="862"/>
    <w:uiPriority w:val="39"/>
    <w:unhideWhenUsed/>
    <w:qFormat/>
    <w:pPr>
      <w:jc w:val="left"/>
      <w:spacing w:before="120" w:after="120"/>
    </w:pPr>
    <w:rPr>
      <w:b/>
      <w:bCs/>
      <w:caps/>
      <w:sz w:val="20"/>
      <w:szCs w:val="20"/>
    </w:rPr>
  </w:style>
  <w:style w:type="paragraph" w:styleId="882">
    <w:name w:val="toc 4"/>
    <w:basedOn w:val="862"/>
    <w:next w:val="862"/>
    <w:uiPriority w:val="39"/>
    <w:unhideWhenUsed/>
    <w:qFormat/>
    <w:pPr>
      <w:ind w:left="630"/>
      <w:jc w:val="left"/>
    </w:pPr>
    <w:rPr>
      <w:sz w:val="18"/>
      <w:szCs w:val="18"/>
    </w:rPr>
  </w:style>
  <w:style w:type="paragraph" w:styleId="883">
    <w:name w:val="toc 6"/>
    <w:basedOn w:val="862"/>
    <w:next w:val="862"/>
    <w:uiPriority w:val="39"/>
    <w:unhideWhenUsed/>
    <w:qFormat/>
    <w:pPr>
      <w:ind w:left="1050"/>
      <w:jc w:val="left"/>
    </w:pPr>
    <w:rPr>
      <w:sz w:val="18"/>
      <w:szCs w:val="18"/>
    </w:rPr>
  </w:style>
  <w:style w:type="paragraph" w:styleId="884">
    <w:name w:val="toc 2"/>
    <w:basedOn w:val="862"/>
    <w:next w:val="862"/>
    <w:uiPriority w:val="39"/>
    <w:unhideWhenUsed/>
    <w:qFormat/>
    <w:pPr>
      <w:ind w:left="210"/>
      <w:jc w:val="left"/>
    </w:pPr>
    <w:rPr>
      <w:smallCaps/>
      <w:sz w:val="20"/>
      <w:szCs w:val="20"/>
    </w:rPr>
  </w:style>
  <w:style w:type="paragraph" w:styleId="885">
    <w:name w:val="toc 9"/>
    <w:basedOn w:val="862"/>
    <w:next w:val="862"/>
    <w:uiPriority w:val="39"/>
    <w:unhideWhenUsed/>
    <w:qFormat/>
    <w:pPr>
      <w:ind w:left="1680"/>
      <w:jc w:val="left"/>
    </w:pPr>
    <w:rPr>
      <w:sz w:val="18"/>
      <w:szCs w:val="18"/>
    </w:rPr>
  </w:style>
  <w:style w:type="paragraph" w:styleId="886">
    <w:name w:val="Normal (Web)"/>
    <w:basedOn w:val="862"/>
    <w:uiPriority w:val="99"/>
    <w:semiHidden/>
    <w:unhideWhenUsed/>
    <w:qFormat/>
    <w:pPr>
      <w:ind w:left="0" w:right="0"/>
      <w:jc w:val="left"/>
      <w:spacing w:before="0" w:beforeAutospacing="1" w:after="0" w:afterAutospacing="1"/>
    </w:pPr>
    <w:rPr>
      <w:sz w:val="24"/>
      <w:lang w:val="en-US" w:eastAsia="zh-CN" w:bidi="ar"/>
    </w:rPr>
  </w:style>
  <w:style w:type="paragraph" w:styleId="887">
    <w:name w:val="Title"/>
    <w:basedOn w:val="862"/>
    <w:next w:val="862"/>
    <w:link w:val="895"/>
    <w:uiPriority w:val="10"/>
    <w:qFormat/>
    <w:pPr>
      <w:jc w:val="center"/>
      <w:spacing w:line="400" w:lineRule="exact"/>
      <w:outlineLvl w:val="0"/>
    </w:pPr>
    <w:rPr>
      <w:rFonts w:eastAsia="黑体" w:asciiTheme="majorHAnsi" w:hAnsiTheme="majorHAnsi" w:cstheme="majorBidi"/>
      <w:bCs/>
      <w:sz w:val="30"/>
      <w:szCs w:val="32"/>
    </w:rPr>
  </w:style>
  <w:style w:type="paragraph" w:styleId="888">
    <w:name w:val="annotation subject"/>
    <w:basedOn w:val="870"/>
    <w:next w:val="870"/>
    <w:link w:val="902"/>
    <w:uiPriority w:val="99"/>
    <w:semiHidden/>
    <w:unhideWhenUsed/>
    <w:qFormat/>
    <w:rPr>
      <w:b/>
      <w:bCs/>
    </w:rPr>
  </w:style>
  <w:style w:type="paragraph" w:styleId="889">
    <w:name w:val="Body Text First Indent 2"/>
    <w:basedOn w:val="873"/>
    <w:uiPriority w:val="0"/>
    <w:qFormat/>
    <w:pPr>
      <w:ind w:firstLine="420"/>
      <w:jc w:val="left"/>
      <w:spacing w:before="160" w:line="240" w:lineRule="atLeast"/>
      <w:widowControl/>
    </w:pPr>
    <w:rPr>
      <w:rFonts w:cs="Arial"/>
      <w:szCs w:val="21"/>
    </w:rPr>
  </w:style>
  <w:style w:type="table" w:styleId="890">
    <w:name w:val="Table Grid"/>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page number"/>
    <w:uiPriority w:val="0"/>
    <w:qFormat/>
  </w:style>
  <w:style w:type="character" w:styleId="892">
    <w:name w:val="FollowedHyperlink"/>
    <w:uiPriority w:val="99"/>
    <w:qFormat/>
    <w:rPr>
      <w:color w:val="800080"/>
      <w:u w:val="single"/>
    </w:rPr>
  </w:style>
  <w:style w:type="character" w:styleId="893">
    <w:name w:val="Hyperlink"/>
    <w:basedOn w:val="866"/>
    <w:uiPriority w:val="99"/>
    <w:unhideWhenUsed/>
    <w:qFormat/>
    <w:rPr>
      <w:color w:val="0000ff" w:themeColor="hyperlink"/>
      <w:u w:val="single"/>
      <w14:textFill>
        <w14:solidFill>
          <w14:schemeClr w14:val="hlink"/>
        </w14:solidFill>
      </w14:textFill>
    </w:rPr>
  </w:style>
  <w:style w:type="character" w:styleId="894">
    <w:name w:val="annotation reference"/>
    <w:basedOn w:val="866"/>
    <w:uiPriority w:val="99"/>
    <w:semiHidden/>
    <w:unhideWhenUsed/>
    <w:qFormat/>
    <w:rPr>
      <w:sz w:val="21"/>
      <w:szCs w:val="21"/>
    </w:rPr>
  </w:style>
  <w:style w:type="character" w:styleId="895" w:customStyle="1">
    <w:name w:val="标题 Char"/>
    <w:basedOn w:val="866"/>
    <w:link w:val="887"/>
    <w:uiPriority w:val="10"/>
    <w:qFormat/>
    <w:rPr>
      <w:rFonts w:eastAsia="黑体" w:asciiTheme="majorHAnsi" w:hAnsiTheme="majorHAnsi" w:cstheme="majorBidi"/>
      <w:bCs/>
      <w:sz w:val="30"/>
      <w:szCs w:val="32"/>
    </w:rPr>
  </w:style>
  <w:style w:type="character" w:styleId="896" w:customStyle="1">
    <w:name w:val="页眉 Char"/>
    <w:basedOn w:val="866"/>
    <w:link w:val="880"/>
    <w:uiPriority w:val="99"/>
    <w:qFormat/>
    <w:rPr>
      <w:sz w:val="18"/>
      <w:szCs w:val="18"/>
    </w:rPr>
  </w:style>
  <w:style w:type="character" w:styleId="897" w:customStyle="1">
    <w:name w:val="页脚 Char"/>
    <w:basedOn w:val="866"/>
    <w:link w:val="879"/>
    <w:uiPriority w:val="99"/>
    <w:qFormat/>
    <w:rPr>
      <w:sz w:val="18"/>
      <w:szCs w:val="18"/>
    </w:rPr>
  </w:style>
  <w:style w:type="character" w:styleId="898" w:customStyle="1">
    <w:name w:val="font2800"/>
    <w:basedOn w:val="866"/>
    <w:uiPriority w:val="0"/>
    <w:qFormat/>
  </w:style>
  <w:style w:type="character" w:styleId="899" w:customStyle="1">
    <w:name w:val="批注框文本 Char"/>
    <w:basedOn w:val="866"/>
    <w:link w:val="878"/>
    <w:uiPriority w:val="99"/>
    <w:semiHidden/>
    <w:qFormat/>
    <w:rPr>
      <w:sz w:val="18"/>
      <w:szCs w:val="18"/>
    </w:rPr>
  </w:style>
  <w:style w:type="table" w:styleId="900" w:customStyle="1">
    <w:name w:val="网格型1"/>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customStyle="1">
    <w:name w:val="批注文字 Char"/>
    <w:basedOn w:val="866"/>
    <w:link w:val="870"/>
    <w:uiPriority w:val="99"/>
    <w:semiHidden/>
    <w:qFormat/>
  </w:style>
  <w:style w:type="character" w:styleId="902" w:customStyle="1">
    <w:name w:val="批注主题 Char"/>
    <w:basedOn w:val="901"/>
    <w:link w:val="888"/>
    <w:uiPriority w:val="99"/>
    <w:semiHidden/>
    <w:qFormat/>
    <w:rPr>
      <w:b/>
      <w:bCs/>
    </w:rPr>
  </w:style>
  <w:style w:type="character" w:styleId="903" w:customStyle="1">
    <w:name w:val="正文文本 Char"/>
    <w:basedOn w:val="866"/>
    <w:uiPriority w:val="99"/>
    <w:semiHidden/>
    <w:qFormat/>
  </w:style>
  <w:style w:type="character" w:styleId="904" w:customStyle="1">
    <w:name w:val="正文文本 Char1"/>
    <w:link w:val="872"/>
    <w:uiPriority w:val="0"/>
    <w:qFormat/>
    <w:rPr>
      <w:rFonts w:ascii="楷体_GB2312" w:hAnsi="Times New Roman" w:eastAsia="楷体_GB2312" w:cs="Times New Roman"/>
      <w:bCs/>
      <w:sz w:val="28"/>
      <w:szCs w:val="24"/>
    </w:rPr>
  </w:style>
  <w:style w:type="paragraph" w:styleId="905" w:customStyle="1">
    <w:name w:val="Table Paragraph"/>
    <w:basedOn w:val="862"/>
    <w:uiPriority w:val="1"/>
    <w:qFormat/>
    <w:pPr>
      <w:ind w:firstLine="260"/>
      <w:jc w:val="left"/>
      <w:spacing w:line="360" w:lineRule="auto"/>
    </w:pPr>
    <w:rPr>
      <w:rFonts w:ascii="Calibri" w:hAnsi="Calibri" w:eastAsia="仿宋" w:cs="Times New Roman"/>
      <w:sz w:val="28"/>
      <w:lang w:eastAsia="en-US"/>
    </w:rPr>
  </w:style>
  <w:style w:type="paragraph" w:styleId="906">
    <w:name w:val="No Spacing"/>
    <w:link w:val="907"/>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07" w:customStyle="1">
    <w:name w:val="无间隔 Char"/>
    <w:link w:val="906"/>
    <w:uiPriority w:val="1"/>
    <w:qFormat/>
    <w:rPr>
      <w:rFonts w:ascii="宋体" w:hAnsi="宋体"/>
      <w:sz w:val="24"/>
    </w:rPr>
  </w:style>
  <w:style w:type="character" w:styleId="908" w:customStyle="1">
    <w:name w:val="正文文本缩进 Char"/>
    <w:basedOn w:val="866"/>
    <w:link w:val="873"/>
    <w:uiPriority w:val="99"/>
    <w:semiHidden/>
    <w:qFormat/>
  </w:style>
  <w:style w:type="paragraph" w:styleId="909" w:customStyle="1">
    <w:name w:val="表格文字"/>
    <w:basedOn w:val="862"/>
    <w:next w:val="872"/>
    <w:uiPriority w:val="0"/>
    <w:qFormat/>
    <w:pPr>
      <w:jc w:val="center"/>
    </w:pPr>
    <w:rPr>
      <w:rFonts w:ascii="Calibri" w:hAnsi="Calibri" w:eastAsia="楷体_GB2312" w:cs="Times New Roman"/>
      <w:sz w:val="24"/>
      <w:szCs w:val="24"/>
    </w:rPr>
  </w:style>
  <w:style w:type="paragraph" w:styleId="910" w:customStyle="1">
    <w:name w:val="列出段落1"/>
    <w:basedOn w:val="862"/>
    <w:uiPriority w:val="0"/>
    <w:qFormat/>
    <w:pPr>
      <w:ind w:firstLine="420"/>
    </w:pPr>
    <w:rPr>
      <w:szCs w:val="20"/>
    </w:rPr>
  </w:style>
  <w:style w:type="character" w:styleId="911" w:customStyle="1">
    <w:name w:val="标题 4 Char"/>
    <w:link w:val="865"/>
    <w:uiPriority w:val="9"/>
    <w:qFormat/>
    <w:rPr>
      <w:rFonts w:asciiTheme="majorHAnsi" w:hAnsiTheme="majorHAnsi" w:eastAsiaTheme="minorEastAsia" w:cstheme="majorBidi"/>
      <w:b/>
      <w:bCs/>
      <w:sz w:val="21"/>
      <w:szCs w:val="28"/>
    </w:rPr>
  </w:style>
  <w:style w:type="character" w:styleId="912" w:customStyle="1">
    <w:name w:val="font31"/>
    <w:uiPriority w:val="0"/>
    <w:qFormat/>
    <w:rPr>
      <w:rFonts w:hint="eastAsia" w:ascii="楷体_GB2312" w:eastAsia="楷体_GB2312"/>
      <w:color w:val="ff0000"/>
      <w:sz w:val="24"/>
      <w:szCs w:val="24"/>
      <w:u w:val="none"/>
    </w:rPr>
  </w:style>
  <w:style w:type="paragraph" w:styleId="913">
    <w:name w:val="List Paragraph"/>
    <w:basedOn w:val="862"/>
    <w:uiPriority w:val="99"/>
    <w:unhideWhenUsed/>
    <w:qFormat/>
    <w:pPr>
      <w:ind w:firstLine="420"/>
    </w:pPr>
  </w:style>
  <w:style w:type="paragraph" w:styleId="914" w:customStyle="1">
    <w:name w:val="_正文段落"/>
    <w:basedOn w:val="862"/>
    <w:uiPriority w:val="0"/>
    <w:qFormat/>
    <w:pPr>
      <w:ind w:firstLine="200"/>
      <w:jc w:val="left"/>
      <w:spacing w:line="360" w:lineRule="auto"/>
    </w:pPr>
    <w:rPr>
      <w:rFonts w:ascii="宋体" w:hAnsi="宋体"/>
      <w:sz w:val="24"/>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4583B68-6CD3-4729-9CFD-C2F64A3A34F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周兆逸</cp:lastModifiedBy>
  <cp:revision>17</cp:revision>
  <dcterms:created xsi:type="dcterms:W3CDTF">2024-09-26T15:30:00Z</dcterms:created>
  <dcterms:modified xsi:type="dcterms:W3CDTF">2025-12-26T07:50:36Z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6E017DCB58CB52D2089F4869BDC268AA_43</vt:lpwstr>
  </property>
  <property fmtid="{D5CDD505-2E9C-101B-9397-08002B2CF9AE}" pid="4" name="KSOTemplateDocerSaveRecord">
    <vt:lpwstr>eyJoZGlkIjoiYWQzNmU2OGUyZTJkNTJmNjAwOWVmYmU0MWIzZGRjMDQiLCJ1c2VySWQiOiI0ODQxMTQzODcifQ==</vt:lpwstr>
  </property>
</Properties>
</file>